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b/>
          <w:sz w:val="22"/>
          <w:szCs w:val="24"/>
        </w:rPr>
      </w:pPr>
      <w:r>
        <w:rPr>
          <w:rFonts w:hint="eastAsia"/>
          <w:b/>
          <w:sz w:val="28"/>
          <w:szCs w:val="24"/>
        </w:rPr>
        <w:t>金門縣金寧鄉公所提供社會團體暨學校興辦各項活動經費補助要點</w:t>
      </w:r>
    </w:p>
    <w:p>
      <w:pPr>
        <w:jc w:val="right"/>
        <w:rPr>
          <w:szCs w:val="24"/>
        </w:rPr>
      </w:pPr>
      <w:r>
        <w:rPr>
          <w:rFonts w:hint="eastAsia"/>
          <w:szCs w:val="24"/>
        </w:rPr>
        <w:t>中華民國110年1月4日汗社字第1090019971號函修正</w:t>
      </w:r>
    </w:p>
    <w:p>
      <w:pPr>
        <w:pStyle w:val="11"/>
        <w:numPr>
          <w:ilvl w:val="0"/>
          <w:numId w:val="1"/>
        </w:numPr>
        <w:ind w:leftChars="0"/>
        <w:rPr>
          <w:rFonts w:ascii="新細明體"/>
          <w:sz w:val="28"/>
          <w:szCs w:val="28"/>
        </w:rPr>
      </w:pPr>
      <w:r>
        <w:rPr>
          <w:rFonts w:hint="eastAsia" w:ascii="新細明體" w:hAnsi="新細明體"/>
          <w:sz w:val="28"/>
          <w:szCs w:val="28"/>
        </w:rPr>
        <w:t>本要點係依據</w:t>
      </w:r>
      <w:r>
        <w:rPr>
          <w:sz w:val="28"/>
          <w:szCs w:val="28"/>
        </w:rPr>
        <w:t>行政院訂頒之「中央對直轄市及縣（市）政府補助辦法」、「各機關單位預算執行要點」、「中央對直轄市與縣（市）政府計畫及預算考核要點」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「中央政府各機關對民間團體及個人補（捐）助預算執行應注意事項」</w:t>
      </w:r>
      <w:r>
        <w:rPr>
          <w:rFonts w:hint="eastAsia"/>
          <w:sz w:val="28"/>
          <w:szCs w:val="28"/>
        </w:rPr>
        <w:t>及「</w:t>
      </w:r>
      <w:r>
        <w:rPr>
          <w:rFonts w:hint="eastAsia" w:ascii="新細明體" w:hAnsi="新細明體"/>
          <w:sz w:val="28"/>
          <w:szCs w:val="28"/>
        </w:rPr>
        <w:t>金門縣政府對民間團體之補（捐）助經費辦理要點」規定訂定之。</w:t>
      </w:r>
    </w:p>
    <w:p>
      <w:pPr>
        <w:pStyle w:val="11"/>
        <w:numPr>
          <w:ilvl w:val="0"/>
          <w:numId w:val="1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為促進社會和諧</w:t>
      </w:r>
      <w:r>
        <w:rPr>
          <w:rFonts w:hint="eastAsia" w:ascii="新細明體" w:hAnsi="新細明體"/>
          <w:sz w:val="28"/>
          <w:szCs w:val="24"/>
        </w:rPr>
        <w:t>、</w:t>
      </w:r>
      <w:r>
        <w:rPr>
          <w:rFonts w:hint="eastAsia"/>
          <w:sz w:val="28"/>
          <w:szCs w:val="24"/>
        </w:rPr>
        <w:t>提倡正當社會活動</w:t>
      </w:r>
      <w:r>
        <w:rPr>
          <w:rFonts w:hint="eastAsia" w:ascii="新細明體" w:hAnsi="新細明體"/>
          <w:sz w:val="28"/>
          <w:szCs w:val="24"/>
        </w:rPr>
        <w:t>，結合社會資源，鼓勵團體利用年節及紀念性節日興辦各項文化、教育、體育及藝文活動，促使會員及民眾情感之交流，帶動社會繁榮、安康、祥和的景象，並以公正、公平的原則核列補助，特訂定本要點，據以規範與執行。</w:t>
      </w:r>
    </w:p>
    <w:p>
      <w:pPr>
        <w:pStyle w:val="11"/>
        <w:ind w:leftChars="0"/>
        <w:rPr>
          <w:rFonts w:asci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前項社會團體或學校組織申請補助之項目，若已為履行其承攬或委託等契約之內容而受有報酬或對價者，不在補助範圍內。</w:t>
      </w:r>
    </w:p>
    <w:p>
      <w:pPr>
        <w:pStyle w:val="11"/>
        <w:numPr>
          <w:ilvl w:val="0"/>
          <w:numId w:val="1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本要點補助對象如下</w:t>
      </w:r>
      <w:r>
        <w:rPr>
          <w:rFonts w:hint="eastAsia" w:ascii="新細明體" w:hAnsi="新細明體"/>
          <w:sz w:val="28"/>
          <w:szCs w:val="24"/>
        </w:rPr>
        <w:t>：</w:t>
      </w:r>
    </w:p>
    <w:p>
      <w:pPr>
        <w:pStyle w:val="11"/>
        <w:numPr>
          <w:ilvl w:val="0"/>
          <w:numId w:val="2"/>
        </w:numPr>
        <w:ind w:leftChars="0"/>
        <w:rPr>
          <w:sz w:val="28"/>
          <w:szCs w:val="24"/>
        </w:rPr>
      </w:pPr>
      <w:r>
        <w:rPr>
          <w:rFonts w:hint="eastAsia"/>
          <w:sz w:val="28"/>
          <w:szCs w:val="24"/>
        </w:rPr>
        <w:t>依法立案之社會團體。</w:t>
      </w:r>
    </w:p>
    <w:p>
      <w:pPr>
        <w:pStyle w:val="11"/>
        <w:numPr>
          <w:ilvl w:val="0"/>
          <w:numId w:val="2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學校組織</w:t>
      </w:r>
      <w:r>
        <w:rPr>
          <w:rFonts w:hint="eastAsia" w:ascii="新細明體" w:hAnsi="新細明體"/>
          <w:sz w:val="28"/>
          <w:szCs w:val="24"/>
        </w:rPr>
        <w:t>。</w:t>
      </w:r>
    </w:p>
    <w:p>
      <w:pPr>
        <w:pStyle w:val="11"/>
        <w:numPr>
          <w:ilvl w:val="0"/>
          <w:numId w:val="1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本要點補助條件：</w:t>
      </w:r>
    </w:p>
    <w:p>
      <w:pPr>
        <w:pStyle w:val="11"/>
        <w:ind w:left="1275" w:hanging="795" w:hangingChars="284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（一）補(捐)助經費，除須由申請補助團體提出計畫審核後，始核定補助額度外，其餘應於預算書上明列項目、對象及金額，不得對個人舉辦活動之贊助，或以定額分配方式處理。</w:t>
      </w:r>
    </w:p>
    <w:p>
      <w:pPr>
        <w:pStyle w:val="11"/>
        <w:ind w:left="1275" w:hanging="795" w:hangingChars="284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（二）對於同一民間團體及個人之補（捐）助金額，每一年度以不超過新臺幣二萬元為原則。</w:t>
      </w:r>
    </w:p>
    <w:p>
      <w:pPr>
        <w:pStyle w:val="11"/>
        <w:ind w:left="1275" w:hanging="795" w:hangingChars="284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（三）對下列民間團體之補（捐）助不適用前款規定：</w:t>
      </w:r>
    </w:p>
    <w:p>
      <w:pPr>
        <w:pStyle w:val="11"/>
        <w:ind w:left="1560" w:leftChars="473" w:hanging="425" w:hangingChars="152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1、依法令規定接受金門縣政府暨所屬各機關委託、協助或代為辦理其應辦業務之民間團體。</w:t>
      </w:r>
    </w:p>
    <w:p>
      <w:pPr>
        <w:pStyle w:val="11"/>
        <w:ind w:left="1560" w:leftChars="473" w:hanging="425" w:hangingChars="152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2、經主管機關依法許可設立之工會（包括總工會、職業工會）、農會、漁會、水利會、同業公會、體育會（含單項運動委員會）或申請補助之計畫具公益性質之教育、文化、社會福利團體。</w:t>
      </w:r>
    </w:p>
    <w:p>
      <w:pPr>
        <w:pStyle w:val="11"/>
        <w:ind w:left="1560" w:leftChars="473" w:hanging="425" w:hangingChars="152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3、配合中央政府各機關補助計畫所補助之民間團體。</w:t>
      </w:r>
    </w:p>
    <w:p>
      <w:pPr>
        <w:pStyle w:val="11"/>
        <w:numPr>
          <w:ilvl w:val="0"/>
          <w:numId w:val="1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申請程序及應備文件、經費用途及使用範圍：</w:t>
      </w:r>
    </w:p>
    <w:p>
      <w:pPr>
        <w:pStyle w:val="11"/>
        <w:numPr>
          <w:ilvl w:val="0"/>
          <w:numId w:val="3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由申請單位</w:t>
      </w:r>
      <w:r>
        <w:rPr>
          <w:rFonts w:hint="eastAsia" w:ascii="新細明體" w:hAnsi="新細明體"/>
          <w:sz w:val="28"/>
          <w:szCs w:val="24"/>
        </w:rPr>
        <w:t>於計畫預定執行日一週前向本所提出申請，逾期不予受理，</w:t>
      </w:r>
      <w:r>
        <w:rPr>
          <w:rFonts w:hint="eastAsia"/>
          <w:sz w:val="28"/>
          <w:szCs w:val="24"/>
        </w:rPr>
        <w:t>檢具活動實施計畫</w:t>
      </w:r>
      <w:r>
        <w:rPr>
          <w:rFonts w:hint="eastAsia" w:ascii="新細明體" w:hAnsi="新細明體"/>
          <w:sz w:val="28"/>
          <w:szCs w:val="24"/>
        </w:rPr>
        <w:t>、經費需求概算表及立案證明文件等，備文送本所審核，依計畫性質及經費需求予以補助，申請案經簽奉鄉長或指定人員核准後，函復申請單位核定補助金額；計畫經核定補助後，申請單位即應確實據以執行，如有修正或變更時應向本所報准。</w:t>
      </w:r>
    </w:p>
    <w:p>
      <w:pPr>
        <w:pStyle w:val="11"/>
        <w:numPr>
          <w:ilvl w:val="0"/>
          <w:numId w:val="3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申請補助計畫內應敘明計畫名稱、目的、辦理單位、實施期間、實施地點、參加對象及人數、活動或工作內容、經費預算明細表、經費來源、預期效益、申請本所補助金額等內容，如附件一。</w:t>
      </w:r>
    </w:p>
    <w:p>
      <w:pPr>
        <w:pStyle w:val="11"/>
        <w:numPr>
          <w:ilvl w:val="0"/>
          <w:numId w:val="3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受補助單位應於計畫執行完竣後兩週內（至遲於核定當年度內核銷完畢，逾期不受理），備文檢附下列資料，函送本所辦理撥款及結報事宜：</w:t>
      </w:r>
    </w:p>
    <w:p>
      <w:pPr>
        <w:pStyle w:val="11"/>
        <w:numPr>
          <w:ilvl w:val="0"/>
          <w:numId w:val="4"/>
        </w:numPr>
        <w:ind w:left="1905"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檢具支出原始憑證（若原始憑證無法分割，請檢附支出分攤表）、所得登記表，如附件二。</w:t>
      </w:r>
    </w:p>
    <w:p>
      <w:pPr>
        <w:pStyle w:val="11"/>
        <w:numPr>
          <w:ilvl w:val="0"/>
          <w:numId w:val="4"/>
        </w:numPr>
        <w:ind w:left="1905"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領據(含統一編號、地址及存摺帳號)，如附件三。</w:t>
      </w:r>
    </w:p>
    <w:p>
      <w:pPr>
        <w:pStyle w:val="11"/>
        <w:numPr>
          <w:ilvl w:val="0"/>
          <w:numId w:val="4"/>
        </w:numPr>
        <w:ind w:left="1905"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活動成果報告表，檢附活動照片4張。本所針對不同類型活動，要求社團提出相關活動資料以供證明。如：會議、課程等需附上會議、課程之紙本資料；宣導活動須附上宣導品或海報等，如附件四。</w:t>
      </w:r>
    </w:p>
    <w:p>
      <w:pPr>
        <w:pStyle w:val="11"/>
        <w:numPr>
          <w:ilvl w:val="0"/>
          <w:numId w:val="4"/>
        </w:numPr>
        <w:ind w:left="1905"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收支結算表，如附件五。</w:t>
      </w:r>
    </w:p>
    <w:p>
      <w:pPr>
        <w:pStyle w:val="11"/>
        <w:numPr>
          <w:ilvl w:val="0"/>
          <w:numId w:val="4"/>
        </w:numPr>
        <w:ind w:left="1905"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存摺封面影本等資料。</w:t>
      </w:r>
    </w:p>
    <w:p>
      <w:pPr>
        <w:pStyle w:val="11"/>
        <w:numPr>
          <w:ilvl w:val="0"/>
          <w:numId w:val="3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補(捐)助經費中如涉及財物或勞務之採購，應依預算法及政府採購法等相關規定辦理。</w:t>
      </w:r>
    </w:p>
    <w:p>
      <w:pPr>
        <w:pStyle w:val="11"/>
        <w:numPr>
          <w:ilvl w:val="0"/>
          <w:numId w:val="3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接受補(捐)助之民間團體及個人，對補(捐)助經費不得支用於自強活動、旅遊、門票、國外旅費、購置制服、宣導品、紀念品等。</w:t>
      </w:r>
    </w:p>
    <w:p>
      <w:pPr>
        <w:pStyle w:val="11"/>
        <w:numPr>
          <w:ilvl w:val="0"/>
          <w:numId w:val="1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審查標準及作業、核銷程序</w:t>
      </w:r>
    </w:p>
    <w:p>
      <w:pPr>
        <w:pStyle w:val="11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同一案件向二個以上機關提出申請補（捐）助，應列明全部經費內容，及向各機關申請補（捐）助之項目及金額，不得重複申請。如有隱匿不實或造假情事，應撤銷該補（捐）助案件，並收回已撥付款項。</w:t>
      </w:r>
    </w:p>
    <w:p>
      <w:pPr>
        <w:pStyle w:val="11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對補（捐）助款之運用考核，如發現成效不佳、未依補（捐）助用途支用、或虛報、浮報等情事，除應繳回該部分之補（捐）助經費外，得依情節輕重對該補（捐）助案件停止補（捐）助一年至五年。</w:t>
      </w:r>
    </w:p>
    <w:p>
      <w:pPr>
        <w:pStyle w:val="11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受補（捐）助經費結報時，所檢附之支出憑證應依政府支出憑證處理要點規定辦理，並檢附收支清單(如附件五)應詳列支出用途及全部實支經費總額，同一案件由二個以上機關補（捐）助者，應列明各機關實際補（捐）助金額。</w:t>
      </w:r>
    </w:p>
    <w:p>
      <w:pPr>
        <w:pStyle w:val="11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但各機關同意由受補(捐)助對象留存前款原始憑證者，得憑領據結報， 各機關並應建立控管及審核機制做成相關紀錄，定期通知審計機關。</w:t>
      </w:r>
    </w:p>
    <w:p>
      <w:pPr>
        <w:pStyle w:val="11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受補(捐)助經費於補(捐)助案件結案時尚有結餘款，應按結餘實際繳回。</w:t>
      </w:r>
    </w:p>
    <w:p>
      <w:pPr>
        <w:pStyle w:val="11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留存受補（捐）助團體之原始憑證，應依會計法規定妥善保存與銷毀，已屆保存年限之銷毀，應函報原補（捐）助機關轉請審計機關同意。如遇有提前銷毀，或有毀損、滅失等情事時，應敘明原因及處理情形，函報原補（捐）助機關轉請審計機關同意。如經發現未確實辦理者，得依情節輕重對該補（捐）助案件或受補（捐）助團體酌減嗣後補（捐）助款或停止補（捐）助一至五年。</w:t>
      </w:r>
    </w:p>
    <w:p>
      <w:pPr>
        <w:pStyle w:val="11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受補（捐）助之民間團體及個人申請支付款項時，應本誠信原則對所提出支出憑證之支付事實及真實性負責，如有不實，應負相關責任。</w:t>
      </w:r>
    </w:p>
    <w:p>
      <w:pPr>
        <w:pStyle w:val="11"/>
        <w:numPr>
          <w:ilvl w:val="0"/>
          <w:numId w:val="1"/>
        </w:numPr>
        <w:ind w:leftChars="0"/>
        <w:rPr>
          <w:sz w:val="28"/>
          <w:szCs w:val="24"/>
        </w:rPr>
      </w:pPr>
      <w:r>
        <w:rPr>
          <w:rFonts w:hint="eastAsia"/>
          <w:sz w:val="28"/>
          <w:szCs w:val="24"/>
        </w:rPr>
        <w:t>本所對於受補（捐）助之社區及人民圍體，應建立適當之督導及考核機制。</w:t>
      </w:r>
    </w:p>
    <w:p>
      <w:pPr>
        <w:pStyle w:val="11"/>
        <w:ind w:leftChars="0"/>
        <w:rPr>
          <w:sz w:val="28"/>
          <w:szCs w:val="24"/>
        </w:rPr>
      </w:pPr>
      <w:r>
        <w:rPr>
          <w:rFonts w:hint="eastAsia"/>
          <w:sz w:val="28"/>
          <w:szCs w:val="24"/>
        </w:rPr>
        <w:t>前項督導及考核機制應包含下列事項：</w:t>
      </w:r>
    </w:p>
    <w:p>
      <w:pPr>
        <w:pStyle w:val="11"/>
        <w:numPr>
          <w:ilvl w:val="0"/>
          <w:numId w:val="6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應定期或不定期採書面或實地方式查核，查核時應就其經費結報資料與原申請補（捐）助計畫，詳實核對其經費運用之合理性，並切實檢討其辦理之活動是否依原申請補（捐）助計畫執行及其執行成效是否符合原申請補（捐）助計畫所述之效益等。</w:t>
      </w:r>
    </w:p>
    <w:p>
      <w:pPr>
        <w:pStyle w:val="11"/>
        <w:numPr>
          <w:ilvl w:val="0"/>
          <w:numId w:val="6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應覈實檢查受補（捐）助案件是否有重複申請或超出所需經費之情形，以避免有隱匿不實、造假或未依補（捐）助用途支用、虛報等情事。</w:t>
      </w:r>
    </w:p>
    <w:p>
      <w:pPr>
        <w:pStyle w:val="11"/>
        <w:numPr>
          <w:ilvl w:val="0"/>
          <w:numId w:val="6"/>
        </w:numPr>
        <w:ind w:leftChars="0"/>
        <w:rPr>
          <w:rFonts w:ascii="新細明體"/>
          <w:sz w:val="28"/>
          <w:szCs w:val="24"/>
        </w:rPr>
      </w:pPr>
      <w:r>
        <w:rPr>
          <w:rFonts w:hint="eastAsia" w:ascii="新細明體"/>
          <w:sz w:val="28"/>
          <w:szCs w:val="24"/>
        </w:rPr>
        <w:t>前二款督導及考核結果，應作為下次或以後年度補（捐）助該民間團體或個人之參據。</w:t>
      </w:r>
    </w:p>
    <w:p>
      <w:pPr>
        <w:pStyle w:val="11"/>
        <w:numPr>
          <w:ilvl w:val="0"/>
          <w:numId w:val="1"/>
        </w:numPr>
        <w:ind w:leftChars="0"/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效益：本補助辦法以落實推動社會參與及發展為目標，並以鼓勵性、贊助性補助原則，促使社會團體及學校推展各項文化教育體育藝文活動，提振團體發揮組織功能，提昇永續服務的理念。</w:t>
      </w:r>
    </w:p>
    <w:p>
      <w:pPr>
        <w:rPr>
          <w:rFonts w:asci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九、本補助辦法所需經費於年度預算核補用罄後即停止補助。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十、本補助辦法奉核定後實施，修正時亦同。</w:t>
      </w:r>
      <w:r>
        <w:rPr>
          <w:rFonts w:ascii="新細明體" w:hAnsi="新細明體"/>
          <w:sz w:val="28"/>
          <w:szCs w:val="24"/>
        </w:rPr>
        <w:br w:type="page"/>
      </w:r>
    </w:p>
    <w:p>
      <w:pPr>
        <w:jc w:val="center"/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83820</wp:posOffset>
                </wp:positionV>
                <wp:extent cx="655320" cy="312420"/>
                <wp:effectExtent l="0" t="0" r="1143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6" o:spt="202" type="#_x0000_t202" style="position:absolute;left:0pt;margin-left:418.5pt;margin-top:6.6pt;height:24.6pt;width:51.6pt;z-index:251659264;mso-width-relative:page;mso-height-relative:page;" fillcolor="#FFFFFF [3201]" filled="t" stroked="t" coordsize="21600,21600" o:gfxdata="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8M8wXW&#10;AAAACQEAAA8AAAAAAAAAAQAgAAAAIgAAAGRycy9kb3ducmV2LnhtbFBLAQIUABQAAAAIAIdO4kCN&#10;RD1oWwIAALkEAAAOAAAAAAAAAAEAIAAAACU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新細明體" w:hAnsi="新細明體"/>
          <w:sz w:val="28"/>
          <w:szCs w:val="24"/>
        </w:rPr>
        <w:t>金門縣金寧鄉公所獎補助經費申請計畫書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壹、計畫名稱：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貳、計畫目的：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參、辦理單位：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 xml:space="preserve">    指導單位：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 xml:space="preserve">    主辦單位：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 xml:space="preserve">    協辦單位：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肆、實施日期：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伍、實施地點：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陸、參加對象及預計人數：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柒、計畫內容：</w:t>
      </w:r>
    </w:p>
    <w:p>
      <w:pPr>
        <w:rPr>
          <w:rFonts w:ascii="新細明體" w:hAnsi="新細明體"/>
          <w:sz w:val="28"/>
          <w:szCs w:val="24"/>
        </w:rPr>
      </w:pP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捌、經費概算明表：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玖、經費來源：</w:t>
      </w:r>
    </w:p>
    <w:p>
      <w:pPr>
        <w:rPr>
          <w:rFonts w:ascii="新細明體" w:hAnsi="新細明體"/>
          <w:sz w:val="28"/>
          <w:szCs w:val="24"/>
        </w:rPr>
      </w:pPr>
      <w:r>
        <w:rPr>
          <w:rFonts w:hint="eastAsia" w:ascii="新細明體" w:hAnsi="新細明體"/>
          <w:sz w:val="28"/>
          <w:szCs w:val="24"/>
        </w:rPr>
        <w:t>拾、預期效益：</w:t>
      </w:r>
    </w:p>
    <w:p>
      <w:pPr>
        <w:spacing w:before="360" w:beforeLines="100"/>
        <w:jc w:val="center"/>
        <w:rPr>
          <w:sz w:val="52"/>
          <w:szCs w:val="24"/>
        </w:rPr>
      </w:pPr>
    </w:p>
    <w:p>
      <w:pPr>
        <w:spacing w:before="360" w:beforeLines="100"/>
        <w:jc w:val="center"/>
        <w:rPr>
          <w:sz w:val="52"/>
          <w:szCs w:val="24"/>
        </w:rPr>
      </w:pPr>
    </w:p>
    <w:p>
      <w:pPr>
        <w:spacing w:before="360" w:beforeLines="100"/>
        <w:jc w:val="center"/>
        <w:rPr>
          <w:sz w:val="52"/>
          <w:szCs w:val="24"/>
        </w:rPr>
      </w:pPr>
      <w:r>
        <w:rPr>
          <w:rFonts w:hint="eastAsia" w:ascii="新細明體" w:hAnsi="新細明體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66675</wp:posOffset>
                </wp:positionV>
                <wp:extent cx="655320" cy="312420"/>
                <wp:effectExtent l="0" t="0" r="11430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6" o:spt="202" type="#_x0000_t202" style="position:absolute;left:0pt;margin-left:425.15pt;margin-top:5.25pt;height:24.6pt;width:51.6pt;z-index:251660288;mso-width-relative:page;mso-height-relative:page;" fillcolor="#FFFFFF [3201]" filled="t" stroked="t" coordsize="21600,21600" o:gfxdata="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a1agj&#10;1gAAAAkBAAAPAAAAAAAAAAEAIAAAACIAAABkcnMvZG93bnJldi54bWxQSwECFAAUAAAACACHTuJA&#10;zfN55FwCAAC5BAAADgAAAAAAAAABACAAAAAl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52"/>
          <w:szCs w:val="24"/>
        </w:rPr>
        <w:t>金寧鄉公所所得登記表</w:t>
      </w:r>
    </w:p>
    <w:p>
      <w:pPr>
        <w:spacing w:before="360" w:beforeLines="100"/>
        <w:jc w:val="center"/>
        <w:rPr>
          <w:sz w:val="52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360" w:beforeLines="100"/>
              <w:rPr>
                <w:sz w:val="40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團體名稱:</w:t>
            </w:r>
          </w:p>
        </w:tc>
        <w:tc>
          <w:tcPr>
            <w:tcW w:w="7791" w:type="dxa"/>
          </w:tcPr>
          <w:p>
            <w:pPr>
              <w:spacing w:before="360" w:beforeLines="100"/>
              <w:jc w:val="center"/>
              <w:rPr>
                <w:sz w:val="4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360" w:beforeLines="100"/>
              <w:rPr>
                <w:sz w:val="40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統一編號:</w:t>
            </w:r>
          </w:p>
        </w:tc>
        <w:tc>
          <w:tcPr>
            <w:tcW w:w="7791" w:type="dxa"/>
          </w:tcPr>
          <w:p>
            <w:pPr>
              <w:spacing w:before="360" w:beforeLines="100"/>
              <w:jc w:val="center"/>
              <w:rPr>
                <w:sz w:val="4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360" w:beforeLines="100"/>
              <w:rPr>
                <w:sz w:val="40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地址:</w:t>
            </w:r>
          </w:p>
        </w:tc>
        <w:tc>
          <w:tcPr>
            <w:tcW w:w="7791" w:type="dxa"/>
          </w:tcPr>
          <w:p>
            <w:pPr>
              <w:spacing w:before="360" w:beforeLines="100"/>
              <w:jc w:val="center"/>
              <w:rPr>
                <w:sz w:val="4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360" w:beforeLines="100"/>
              <w:rPr>
                <w:sz w:val="40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給付事由:</w:t>
            </w:r>
          </w:p>
        </w:tc>
        <w:tc>
          <w:tcPr>
            <w:tcW w:w="7791" w:type="dxa"/>
          </w:tcPr>
          <w:p>
            <w:pPr>
              <w:spacing w:before="360" w:beforeLines="100"/>
              <w:jc w:val="center"/>
              <w:rPr>
                <w:sz w:val="4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360" w:beforeLines="100"/>
              <w:rPr>
                <w:sz w:val="40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日期:</w:t>
            </w:r>
          </w:p>
        </w:tc>
        <w:tc>
          <w:tcPr>
            <w:tcW w:w="7791" w:type="dxa"/>
          </w:tcPr>
          <w:p>
            <w:pPr>
              <w:spacing w:before="360" w:beforeLines="100"/>
              <w:jc w:val="center"/>
              <w:rPr>
                <w:sz w:val="4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360" w:beforeLines="100"/>
              <w:rPr>
                <w:sz w:val="40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給付總額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>
            <w:pPr>
              <w:spacing w:before="360" w:beforeLines="100"/>
              <w:jc w:val="center"/>
              <w:rPr>
                <w:sz w:val="4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360" w:beforeLines="100"/>
              <w:rPr>
                <w:sz w:val="40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扣繳稅額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>
            <w:pPr>
              <w:spacing w:before="360" w:beforeLines="100"/>
              <w:jc w:val="center"/>
              <w:rPr>
                <w:sz w:val="4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before="360" w:beforeLines="100"/>
              <w:rPr>
                <w:sz w:val="40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給付淨額:</w:t>
            </w:r>
          </w:p>
        </w:tc>
        <w:tc>
          <w:tcPr>
            <w:tcW w:w="7791" w:type="dxa"/>
          </w:tcPr>
          <w:p>
            <w:pPr>
              <w:spacing w:before="360" w:beforeLines="100"/>
              <w:jc w:val="center"/>
              <w:rPr>
                <w:sz w:val="40"/>
                <w:szCs w:val="24"/>
              </w:rPr>
            </w:pPr>
          </w:p>
        </w:tc>
      </w:tr>
    </w:tbl>
    <w:p>
      <w:pPr>
        <w:widowControl/>
        <w:rPr>
          <w:sz w:val="40"/>
          <w:szCs w:val="24"/>
        </w:rPr>
      </w:pPr>
      <w:r>
        <w:rPr>
          <w:sz w:val="40"/>
          <w:szCs w:val="24"/>
        </w:rPr>
        <w:br w:type="page"/>
      </w:r>
    </w:p>
    <w:p>
      <w:pPr>
        <w:spacing w:before="360" w:beforeLines="100"/>
        <w:jc w:val="center"/>
        <w:rPr>
          <w:sz w:val="40"/>
          <w:szCs w:val="24"/>
        </w:rPr>
      </w:pPr>
      <w:r>
        <w:rPr>
          <w:rFonts w:hint="eastAsia" w:ascii="新細明體" w:hAnsi="新細明體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8255</wp:posOffset>
                </wp:positionV>
                <wp:extent cx="655320" cy="312420"/>
                <wp:effectExtent l="0" t="0" r="11430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6" o:spt="202" type="#_x0000_t202" style="position:absolute;left:0pt;margin-left:426pt;margin-top:0.65pt;height:24.6pt;width:51.6pt;z-index:251661312;mso-width-relative:page;mso-height-relative:page;" fillcolor="#FFFFFF [3201]" filled="t" stroked="t" coordsize="21600,21600" o:gfxdata="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KkaBbV&#10;AAAACAEAAA8AAAAAAAAAAQAgAAAAIgAAAGRycy9kb3ducmV2LnhtbFBLAQIUABQAAAAIAIdO4kAN&#10;FGPQXAIAALkEAAAOAAAAAAAAAAEAIAAAACQ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  <w:szCs w:val="24"/>
        </w:rPr>
        <w:t>領</w:t>
      </w:r>
      <w:r>
        <w:rPr>
          <w:sz w:val="40"/>
          <w:szCs w:val="24"/>
        </w:rPr>
        <w:tab/>
      </w:r>
      <w:r>
        <w:rPr>
          <w:rFonts w:hint="eastAsia"/>
          <w:sz w:val="40"/>
          <w:szCs w:val="24"/>
        </w:rPr>
        <w:t>據</w:t>
      </w:r>
    </w:p>
    <w:p>
      <w:pPr>
        <w:spacing w:before="360" w:beforeLines="100"/>
        <w:rPr>
          <w:sz w:val="28"/>
          <w:szCs w:val="24"/>
        </w:rPr>
      </w:pPr>
      <w:r>
        <w:rPr>
          <w:rFonts w:hint="eastAsia"/>
          <w:sz w:val="28"/>
          <w:szCs w:val="24"/>
        </w:rPr>
        <w:t>茲領取貴所補助本</w:t>
      </w:r>
      <w:r>
        <w:rPr>
          <w:rFonts w:hint="eastAsia"/>
          <w:sz w:val="28"/>
          <w:szCs w:val="24"/>
          <w:u w:val="single"/>
        </w:rPr>
        <w:t xml:space="preserve">                    </w:t>
      </w:r>
      <w:r>
        <w:rPr>
          <w:rFonts w:hint="eastAsia"/>
          <w:sz w:val="28"/>
          <w:szCs w:val="24"/>
        </w:rPr>
        <w:t>辦理「</w:t>
      </w:r>
      <w:r>
        <w:rPr>
          <w:rFonts w:hint="eastAsia"/>
          <w:sz w:val="28"/>
          <w:szCs w:val="24"/>
          <w:u w:val="single"/>
        </w:rPr>
        <w:t xml:space="preserve">                    </w:t>
      </w:r>
      <w:r>
        <w:rPr>
          <w:rFonts w:hint="eastAsia"/>
          <w:sz w:val="28"/>
          <w:szCs w:val="24"/>
        </w:rPr>
        <w:t>」計新台幣</w:t>
      </w:r>
      <w:r>
        <w:rPr>
          <w:rFonts w:hint="eastAsia"/>
          <w:sz w:val="28"/>
          <w:szCs w:val="24"/>
          <w:u w:val="single"/>
        </w:rPr>
        <w:t xml:space="preserve">             </w:t>
      </w:r>
      <w:r>
        <w:rPr>
          <w:rFonts w:hint="eastAsia"/>
          <w:sz w:val="28"/>
          <w:szCs w:val="24"/>
        </w:rPr>
        <w:t>元整，屬實無訛。</w:t>
      </w:r>
    </w:p>
    <w:p>
      <w:pPr>
        <w:spacing w:before="360" w:beforeLines="100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>
      <w:pPr>
        <w:spacing w:before="360" w:beforeLines="100"/>
        <w:rPr>
          <w:sz w:val="28"/>
          <w:szCs w:val="24"/>
        </w:rPr>
      </w:pPr>
      <w:r>
        <w:rPr>
          <w:rFonts w:hint="eastAsia"/>
          <w:sz w:val="28"/>
          <w:szCs w:val="24"/>
        </w:rPr>
        <w:t>此致</w:t>
      </w:r>
      <w:r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>金門縣金寧鄉公所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受補助對象名稱：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負責人姓名：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會   計：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出   納：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通訊處：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電   話：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戶名及局帳號：</w:t>
      </w: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統一編號：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>中   華   民   國</w:t>
      </w:r>
      <w:r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 xml:space="preserve">   </w:t>
      </w:r>
      <w:r>
        <w:rPr>
          <w:sz w:val="28"/>
          <w:szCs w:val="24"/>
        </w:rPr>
        <w:t>年</w:t>
      </w:r>
      <w:r>
        <w:rPr>
          <w:rFonts w:hint="eastAsia"/>
          <w:sz w:val="28"/>
          <w:szCs w:val="24"/>
        </w:rPr>
        <w:t xml:space="preserve">   </w:t>
      </w:r>
      <w:r>
        <w:rPr>
          <w:sz w:val="28"/>
          <w:szCs w:val="24"/>
        </w:rPr>
        <w:t>月</w:t>
      </w:r>
      <w:r>
        <w:rPr>
          <w:rFonts w:hint="eastAsia"/>
          <w:sz w:val="28"/>
          <w:szCs w:val="24"/>
        </w:rPr>
        <w:t xml:space="preserve">   </w:t>
      </w:r>
      <w:r>
        <w:rPr>
          <w:sz w:val="28"/>
          <w:szCs w:val="24"/>
        </w:rPr>
        <w:t>日</w:t>
      </w:r>
    </w:p>
    <w:p>
      <w:pPr>
        <w:spacing w:before="360" w:beforeLines="100"/>
        <w:jc w:val="center"/>
        <w:rPr>
          <w:sz w:val="28"/>
          <w:szCs w:val="24"/>
        </w:rPr>
      </w:pPr>
    </w:p>
    <w:p>
      <w:pPr>
        <w:spacing w:before="360" w:beforeLines="100"/>
        <w:rPr>
          <w:sz w:val="28"/>
          <w:szCs w:val="24"/>
        </w:rPr>
      </w:pPr>
    </w:p>
    <w:tbl>
      <w:tblPr>
        <w:tblStyle w:val="3"/>
        <w:tblpPr w:leftFromText="180" w:rightFromText="180" w:vertAnchor="page" w:horzAnchor="margin" w:tblpX="108" w:tblpY="1111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2"/>
            <w:shd w:val="clear" w:color="auto" w:fill="auto"/>
          </w:tcPr>
          <w:p>
            <w:pPr>
              <w:jc w:val="center"/>
              <w:rPr>
                <w:rFonts w:ascii="標楷體" w:hAnsi="標楷體" w:eastAsia="標楷體"/>
                <w:b/>
                <w:sz w:val="36"/>
                <w:szCs w:val="36"/>
              </w:rPr>
            </w:pPr>
            <w:r>
              <w:rPr>
                <w:rFonts w:hint="eastAsia" w:ascii="新細明體" w:hAnsi="新細明體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1207135</wp:posOffset>
                      </wp:positionV>
                      <wp:extent cx="655320" cy="312420"/>
                      <wp:effectExtent l="0" t="0" r="11430" b="1143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4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8" o:spid="_x0000_s1026" o:spt="202" type="#_x0000_t202" style="position:absolute;left:0pt;margin-left:431.5pt;margin-top:95.05pt;height:24.6pt;width:51.6pt;z-index:251662336;mso-width-relative:page;mso-height-relative:page;" fillcolor="#FFFFFF [3201]" filled="t" stroked="t" coordsize="21600,21600" o:gfxdata="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Jpi&#10;89cAAAALAQAADwAAAAAAAAABACAAAAAiAAAAZHJzL2Rvd25yZXYueG1sUEsBAhQAFAAAAAgAh07i&#10;QIxUtE9cAgAAuQQAAA4AAAAAAAAAAQAgAAAAJg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標楷體" w:hAnsi="標楷體" w:eastAsia="標楷體"/>
                <w:b/>
                <w:sz w:val="36"/>
                <w:szCs w:val="36"/>
              </w:rPr>
              <w:t>活動成果報告表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auto"/>
          </w:tcPr>
          <w:p>
            <w:pPr>
              <w:jc w:val="distribute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活動</w:t>
            </w:r>
            <w:r>
              <w:rPr>
                <w:rFonts w:hint="eastAsia" w:ascii="標楷體" w:hAnsi="標楷體" w:eastAsia="標楷體"/>
                <w:b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7121" w:type="dxa"/>
            <w:shd w:val="clear" w:color="auto" w:fill="auto"/>
          </w:tcPr>
          <w:p>
            <w:pPr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 xml:space="preserve">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802" w:type="dxa"/>
            <w:shd w:val="clear" w:color="auto" w:fill="auto"/>
          </w:tcPr>
          <w:p>
            <w:pPr>
              <w:jc w:val="distribute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7121" w:type="dxa"/>
            <w:shd w:val="clear" w:color="auto" w:fill="auto"/>
          </w:tcPr>
          <w:p>
            <w:pPr>
              <w:rPr>
                <w:rFonts w:ascii="標楷體" w:hAnsi="標楷體" w:eastAsia="標楷體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802" w:type="dxa"/>
            <w:shd w:val="clear" w:color="auto" w:fill="auto"/>
          </w:tcPr>
          <w:p>
            <w:pPr>
              <w:jc w:val="distribute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參加人數(或人次)</w:t>
            </w:r>
          </w:p>
        </w:tc>
        <w:tc>
          <w:tcPr>
            <w:tcW w:w="7121" w:type="dxa"/>
            <w:shd w:val="clear" w:color="auto" w:fill="auto"/>
          </w:tcPr>
          <w:p>
            <w:pPr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 xml:space="preserve">        人(</w:t>
            </w:r>
            <w:r>
              <w:rPr>
                <w:rFonts w:hint="eastAsia" w:ascii="標楷體" w:hAnsi="標楷體" w:eastAsia="標楷體"/>
                <w:b/>
                <w:sz w:val="28"/>
                <w:szCs w:val="28"/>
                <w:lang w:eastAsia="zh-HK"/>
              </w:rPr>
              <w:t>人次)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2" w:hRule="atLeast"/>
        </w:trPr>
        <w:tc>
          <w:tcPr>
            <w:tcW w:w="9923" w:type="dxa"/>
            <w:gridSpan w:val="2"/>
            <w:shd w:val="clear" w:color="auto" w:fill="auto"/>
          </w:tcPr>
          <w:p>
            <w:pPr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執行成果</w:t>
            </w:r>
            <w:r>
              <w:rPr>
                <w:rFonts w:hint="eastAsia" w:ascii="標楷體" w:hAnsi="標楷體" w:eastAsia="標楷體"/>
                <w:b/>
                <w:sz w:val="28"/>
                <w:szCs w:val="28"/>
                <w:lang w:eastAsia="zh-HK"/>
              </w:rPr>
              <w:t>及效益</w:t>
            </w:r>
            <w:r>
              <w:rPr>
                <w:rFonts w:hint="eastAsia" w:ascii="標楷體" w:hAnsi="標楷體" w:eastAsia="標楷體"/>
                <w:b/>
                <w:sz w:val="28"/>
                <w:szCs w:val="28"/>
              </w:rPr>
              <w:t>說明:</w:t>
            </w:r>
          </w:p>
          <w:p>
            <w:pPr>
              <w:spacing w:line="500" w:lineRule="exac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（請以300-800字內說明執行情形及成果效益，亦可以剪報代替）</w:t>
            </w: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28"/>
                <w:szCs w:val="28"/>
              </w:rPr>
            </w:pPr>
          </w:p>
          <w:p>
            <w:pPr>
              <w:rPr>
                <w:rFonts w:ascii="標楷體" w:hAnsi="標楷體" w:eastAsia="標楷體"/>
                <w:sz w:val="32"/>
                <w:szCs w:val="32"/>
              </w:rPr>
            </w:pPr>
          </w:p>
        </w:tc>
      </w:tr>
    </w:tbl>
    <w:p>
      <w:pPr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  <w:lang w:eastAsia="zh-HK"/>
        </w:rPr>
        <w:t>另請檢附</w:t>
      </w:r>
      <w:r>
        <w:rPr>
          <w:rFonts w:hint="eastAsia" w:ascii="標楷體" w:hAnsi="標楷體" w:eastAsia="標楷體"/>
          <w:b/>
          <w:sz w:val="28"/>
          <w:szCs w:val="28"/>
        </w:rPr>
        <w:t>活動照片(至</w:t>
      </w:r>
      <w:r>
        <w:rPr>
          <w:rFonts w:hint="eastAsia" w:ascii="標楷體" w:hAnsi="標楷體" w:eastAsia="標楷體"/>
          <w:b/>
          <w:sz w:val="28"/>
          <w:szCs w:val="28"/>
          <w:lang w:eastAsia="zh-HK"/>
        </w:rPr>
        <w:t>少</w:t>
      </w:r>
      <w:r>
        <w:rPr>
          <w:rFonts w:hint="eastAsia" w:ascii="標楷體" w:hAnsi="標楷體" w:eastAsia="標楷體"/>
          <w:b/>
          <w:sz w:val="28"/>
          <w:szCs w:val="28"/>
        </w:rPr>
        <w:t>4張)</w:t>
      </w:r>
    </w:p>
    <w:p>
      <w:pPr>
        <w:spacing w:before="360" w:beforeLines="100"/>
        <w:rPr>
          <w:sz w:val="28"/>
          <w:szCs w:val="24"/>
        </w:rPr>
        <w:sectPr>
          <w:pgSz w:w="11907" w:h="16839"/>
          <w:pgMar w:top="1418" w:right="1134" w:bottom="1440" w:left="1134" w:header="851" w:footer="992" w:gutter="0"/>
          <w:cols w:space="425" w:num="1"/>
          <w:docGrid w:type="lines" w:linePitch="360" w:charSpace="0"/>
        </w:sectPr>
      </w:pPr>
    </w:p>
    <w:p>
      <w:pPr>
        <w:rPr>
          <w:rFonts w:ascii="標楷體" w:hAnsi="標楷體" w:eastAsia="標楷體"/>
          <w:sz w:val="30"/>
        </w:rPr>
      </w:pPr>
    </w:p>
    <w:sectPr>
      <w:pgSz w:w="16839" w:h="11907" w:orient="landscape"/>
      <w:pgMar w:top="1134" w:right="1418" w:bottom="1134" w:left="144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DC54DC"/>
    <w:multiLevelType w:val="multilevel"/>
    <w:tmpl w:val="2FDC54DC"/>
    <w:lvl w:ilvl="0" w:tentative="0">
      <w:start w:val="1"/>
      <w:numFmt w:val="decimal"/>
      <w:lvlText w:val="%1."/>
      <w:lvlJc w:val="left"/>
      <w:pPr>
        <w:ind w:left="1308" w:hanging="828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A07800"/>
    <w:multiLevelType w:val="multilevel"/>
    <w:tmpl w:val="31A07800"/>
    <w:lvl w:ilvl="0" w:tentative="0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FD214FB"/>
    <w:multiLevelType w:val="multilevel"/>
    <w:tmpl w:val="3FD214FB"/>
    <w:lvl w:ilvl="0" w:tentative="0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D63D38"/>
    <w:multiLevelType w:val="multilevel"/>
    <w:tmpl w:val="51D63D38"/>
    <w:lvl w:ilvl="0" w:tentative="0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7614D59"/>
    <w:multiLevelType w:val="multilevel"/>
    <w:tmpl w:val="67614D59"/>
    <w:lvl w:ilvl="0" w:tentative="0">
      <w:start w:val="1"/>
      <w:numFmt w:val="taiwaneseCountingThousand"/>
      <w:lvlText w:val="（%1）"/>
      <w:lvlJc w:val="left"/>
      <w:pPr>
        <w:ind w:left="1308" w:hanging="828"/>
      </w:pPr>
      <w:rPr>
        <w:rFonts w:hint="default" w:hAnsi="Calibri"/>
        <w:lang w:val="en-US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B4469C1"/>
    <w:multiLevelType w:val="multilevel"/>
    <w:tmpl w:val="6B4469C1"/>
    <w:lvl w:ilvl="0" w:tentative="0">
      <w:start w:val="1"/>
      <w:numFmt w:val="taiwaneseCountingThousand"/>
      <w:lvlText w:val="%1、"/>
      <w:lvlJc w:val="left"/>
      <w:pPr>
        <w:ind w:left="480" w:hanging="480"/>
      </w:pPr>
      <w:rPr>
        <w:rFonts w:hint="default" w:hAnsi="新細明體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doNotDisplayPageBoundaries w:val="1"/>
  <w:embedSystemFonts/>
  <w:bordersDoNotSurroundHeader w:val="1"/>
  <w:bordersDoNotSurroundFooter w:val="1"/>
  <w:documentProtection w:enforcement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72"/>
    <w:rsid w:val="00041EFD"/>
    <w:rsid w:val="00066712"/>
    <w:rsid w:val="000958C1"/>
    <w:rsid w:val="000D5F4B"/>
    <w:rsid w:val="000E0CF0"/>
    <w:rsid w:val="00140211"/>
    <w:rsid w:val="00157CA8"/>
    <w:rsid w:val="00192995"/>
    <w:rsid w:val="001D38C9"/>
    <w:rsid w:val="0022774E"/>
    <w:rsid w:val="00234A6E"/>
    <w:rsid w:val="00263DEE"/>
    <w:rsid w:val="002800AE"/>
    <w:rsid w:val="00291A31"/>
    <w:rsid w:val="002E3163"/>
    <w:rsid w:val="00321814"/>
    <w:rsid w:val="0039185E"/>
    <w:rsid w:val="00391CF3"/>
    <w:rsid w:val="003A6D45"/>
    <w:rsid w:val="0040137F"/>
    <w:rsid w:val="00401E79"/>
    <w:rsid w:val="004319B6"/>
    <w:rsid w:val="00436064"/>
    <w:rsid w:val="0044087F"/>
    <w:rsid w:val="004527E4"/>
    <w:rsid w:val="0054065A"/>
    <w:rsid w:val="0055397D"/>
    <w:rsid w:val="00582FAA"/>
    <w:rsid w:val="00597665"/>
    <w:rsid w:val="005F0AFF"/>
    <w:rsid w:val="005F2B44"/>
    <w:rsid w:val="006116A7"/>
    <w:rsid w:val="00614FBB"/>
    <w:rsid w:val="0061700C"/>
    <w:rsid w:val="0061705E"/>
    <w:rsid w:val="0065492A"/>
    <w:rsid w:val="006E2D7A"/>
    <w:rsid w:val="00703776"/>
    <w:rsid w:val="00757651"/>
    <w:rsid w:val="00761EC5"/>
    <w:rsid w:val="00762F0F"/>
    <w:rsid w:val="007C015F"/>
    <w:rsid w:val="00801B68"/>
    <w:rsid w:val="00832BD6"/>
    <w:rsid w:val="008340DE"/>
    <w:rsid w:val="00835A47"/>
    <w:rsid w:val="008A2753"/>
    <w:rsid w:val="008A5AA6"/>
    <w:rsid w:val="008E7757"/>
    <w:rsid w:val="00911717"/>
    <w:rsid w:val="00923238"/>
    <w:rsid w:val="0092687C"/>
    <w:rsid w:val="00976C33"/>
    <w:rsid w:val="009E2B91"/>
    <w:rsid w:val="00A14EE8"/>
    <w:rsid w:val="00A848CD"/>
    <w:rsid w:val="00A91FC4"/>
    <w:rsid w:val="00AC1C70"/>
    <w:rsid w:val="00AD62C2"/>
    <w:rsid w:val="00B16355"/>
    <w:rsid w:val="00B751F0"/>
    <w:rsid w:val="00BB6DEB"/>
    <w:rsid w:val="00BC4F72"/>
    <w:rsid w:val="00BC79CC"/>
    <w:rsid w:val="00BE3504"/>
    <w:rsid w:val="00BE687A"/>
    <w:rsid w:val="00C43B69"/>
    <w:rsid w:val="00C60960"/>
    <w:rsid w:val="00C70F4C"/>
    <w:rsid w:val="00C75478"/>
    <w:rsid w:val="00C8645C"/>
    <w:rsid w:val="00C92AB5"/>
    <w:rsid w:val="00CA44C4"/>
    <w:rsid w:val="00CA739D"/>
    <w:rsid w:val="00CA7814"/>
    <w:rsid w:val="00CA7ADF"/>
    <w:rsid w:val="00CC1817"/>
    <w:rsid w:val="00CC1A4A"/>
    <w:rsid w:val="00D34447"/>
    <w:rsid w:val="00D76698"/>
    <w:rsid w:val="00D80173"/>
    <w:rsid w:val="00DA2360"/>
    <w:rsid w:val="00DE3287"/>
    <w:rsid w:val="00E02CC9"/>
    <w:rsid w:val="00E32EC7"/>
    <w:rsid w:val="00E43954"/>
    <w:rsid w:val="00E54561"/>
    <w:rsid w:val="00E57B59"/>
    <w:rsid w:val="00E6370B"/>
    <w:rsid w:val="00E66B69"/>
    <w:rsid w:val="00E82F07"/>
    <w:rsid w:val="00EB3B09"/>
    <w:rsid w:val="00EB3CC3"/>
    <w:rsid w:val="00EF3B70"/>
    <w:rsid w:val="00F27C09"/>
    <w:rsid w:val="00F655D3"/>
    <w:rsid w:val="00FD426E"/>
    <w:rsid w:val="00FD7F0F"/>
    <w:rsid w:val="23E81EA7"/>
    <w:rsid w:val="2BD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細明體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Times New Roman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8"/>
      <w:szCs w:val="18"/>
    </w:rPr>
  </w:style>
  <w:style w:type="paragraph" w:styleId="6">
    <w:name w:val="annotation text"/>
    <w:basedOn w:val="1"/>
    <w:link w:val="14"/>
    <w:semiHidden/>
    <w:unhideWhenUsed/>
    <w:uiPriority w:val="99"/>
  </w:style>
  <w:style w:type="paragraph" w:styleId="7">
    <w:name w:val="annotation subject"/>
    <w:basedOn w:val="6"/>
    <w:next w:val="6"/>
    <w:link w:val="15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10">
    <w:name w:val="Table Grid"/>
    <w:basedOn w:val="3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99"/>
    <w:pPr>
      <w:ind w:left="480" w:leftChars="200"/>
    </w:pPr>
  </w:style>
  <w:style w:type="character" w:customStyle="1" w:styleId="12">
    <w:name w:val="頁首 字元"/>
    <w:link w:val="9"/>
    <w:qFormat/>
    <w:uiPriority w:val="99"/>
    <w:rPr>
      <w:sz w:val="20"/>
      <w:szCs w:val="20"/>
    </w:rPr>
  </w:style>
  <w:style w:type="character" w:customStyle="1" w:styleId="13">
    <w:name w:val="頁尾 字元"/>
    <w:link w:val="8"/>
    <w:qFormat/>
    <w:uiPriority w:val="99"/>
    <w:rPr>
      <w:sz w:val="20"/>
      <w:szCs w:val="20"/>
    </w:rPr>
  </w:style>
  <w:style w:type="character" w:customStyle="1" w:styleId="14">
    <w:name w:val="註解文字 字元"/>
    <w:basedOn w:val="2"/>
    <w:link w:val="6"/>
    <w:semiHidden/>
    <w:uiPriority w:val="99"/>
    <w:rPr>
      <w:kern w:val="2"/>
      <w:sz w:val="24"/>
      <w:szCs w:val="22"/>
    </w:rPr>
  </w:style>
  <w:style w:type="character" w:customStyle="1" w:styleId="15">
    <w:name w:val="註解主旨 字元"/>
    <w:basedOn w:val="14"/>
    <w:link w:val="7"/>
    <w:semiHidden/>
    <w:qFormat/>
    <w:uiPriority w:val="99"/>
    <w:rPr>
      <w:b/>
      <w:bCs/>
      <w:kern w:val="2"/>
      <w:sz w:val="24"/>
      <w:szCs w:val="22"/>
    </w:rPr>
  </w:style>
  <w:style w:type="character" w:customStyle="1" w:styleId="16">
    <w:name w:val="註解方塊文字 字元"/>
    <w:basedOn w:val="2"/>
    <w:link w:val="4"/>
    <w:semiHidden/>
    <w:qFormat/>
    <w:uiPriority w:val="99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EA659-9AA4-4E18-9D78-D4876EB782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427</Words>
  <Characters>2440</Characters>
  <Lines>20</Lines>
  <Paragraphs>5</Paragraphs>
  <TotalTime>741</TotalTime>
  <ScaleCrop>false</ScaleCrop>
  <LinksUpToDate>false</LinksUpToDate>
  <CharactersWithSpaces>2862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2020-10-26T01:58:00Z</dcterms:created>
  <dc:creator>user</dc:creator>
  <cp:lastModifiedBy>user</cp:lastModifiedBy>
  <cp:lastPrinted>2020-12-11T01:40:00Z</cp:lastPrinted>
  <dcterms:modified xsi:type="dcterms:W3CDTF">2023-12-19T09:31:05Z</dcterms:modified>
  <dc:title>金門縣金寧鄉公所提供社會團體暨學校興辦各項活動經費補助要點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68D6D16B5D104D0382C25482E9F6D8B3_13</vt:lpwstr>
  </property>
</Properties>
</file>