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B25" w:rsidRPr="00A03523" w:rsidRDefault="00A03523" w:rsidP="00A03523">
      <w:pPr>
        <w:jc w:val="center"/>
        <w:rPr>
          <w:b/>
          <w:sz w:val="28"/>
        </w:rPr>
      </w:pPr>
      <w:r w:rsidRPr="00A03523">
        <w:rPr>
          <w:rFonts w:hint="eastAsia"/>
          <w:b/>
          <w:sz w:val="28"/>
        </w:rPr>
        <w:t>金寧鄉調解委員會聲請調解注意事項</w:t>
      </w:r>
    </w:p>
    <w:p w:rsidR="00A03523" w:rsidRPr="00A03523" w:rsidRDefault="00A03523" w:rsidP="00A03523">
      <w:pPr>
        <w:pStyle w:val="a3"/>
        <w:numPr>
          <w:ilvl w:val="0"/>
          <w:numId w:val="1"/>
        </w:numPr>
        <w:ind w:leftChars="0"/>
      </w:pPr>
      <w:r w:rsidRPr="00A03523">
        <w:rPr>
          <w:rFonts w:hint="eastAsia"/>
        </w:rPr>
        <w:t>調解事件之範圍</w:t>
      </w:r>
      <w:r w:rsidRPr="00A03523">
        <w:rPr>
          <w:rFonts w:hint="eastAsia"/>
        </w:rPr>
        <w:t>(</w:t>
      </w:r>
      <w:r w:rsidRPr="00A03523">
        <w:rPr>
          <w:rFonts w:hint="eastAsia"/>
        </w:rPr>
        <w:t>依據鄉鎮市調解條例第</w:t>
      </w:r>
      <w:r w:rsidRPr="00A03523">
        <w:rPr>
          <w:rFonts w:hint="eastAsia"/>
        </w:rPr>
        <w:t>1</w:t>
      </w:r>
      <w:r w:rsidRPr="00A03523">
        <w:rPr>
          <w:rFonts w:hint="eastAsia"/>
        </w:rPr>
        <w:t>、</w:t>
      </w:r>
      <w:r w:rsidRPr="00A03523">
        <w:rPr>
          <w:rFonts w:hint="eastAsia"/>
        </w:rPr>
        <w:t xml:space="preserve">10 </w:t>
      </w:r>
      <w:r w:rsidRPr="00A03523">
        <w:rPr>
          <w:rFonts w:hint="eastAsia"/>
        </w:rPr>
        <w:t>條規定</w:t>
      </w:r>
      <w:r w:rsidRPr="00A03523">
        <w:rPr>
          <w:rFonts w:hint="eastAsia"/>
        </w:rPr>
        <w:t>)</w:t>
      </w:r>
    </w:p>
    <w:p w:rsidR="00A03523" w:rsidRPr="00A03523" w:rsidRDefault="00A03523" w:rsidP="00A03523">
      <w:pPr>
        <w:pStyle w:val="a3"/>
        <w:numPr>
          <w:ilvl w:val="0"/>
          <w:numId w:val="2"/>
        </w:numPr>
        <w:ind w:leftChars="0"/>
      </w:pPr>
      <w:r w:rsidRPr="00A03523">
        <w:rPr>
          <w:rFonts w:hint="eastAsia"/>
        </w:rPr>
        <w:t>民事事件。</w:t>
      </w:r>
    </w:p>
    <w:p w:rsidR="00A03523" w:rsidRPr="00A03523" w:rsidRDefault="00A03523" w:rsidP="00A03523">
      <w:pPr>
        <w:pStyle w:val="a3"/>
        <w:numPr>
          <w:ilvl w:val="0"/>
          <w:numId w:val="2"/>
        </w:numPr>
        <w:ind w:leftChars="0"/>
      </w:pPr>
      <w:r w:rsidRPr="00A03523">
        <w:rPr>
          <w:rFonts w:hint="eastAsia"/>
        </w:rPr>
        <w:t>告訴乃論之刑事事件。</w:t>
      </w:r>
    </w:p>
    <w:p w:rsidR="00A03523" w:rsidRPr="00A03523" w:rsidRDefault="00A03523" w:rsidP="00A03523">
      <w:pPr>
        <w:pStyle w:val="a3"/>
        <w:numPr>
          <w:ilvl w:val="0"/>
          <w:numId w:val="2"/>
        </w:numPr>
        <w:ind w:leftChars="0"/>
      </w:pPr>
      <w:r w:rsidRPr="00A03523">
        <w:rPr>
          <w:rFonts w:hint="eastAsia"/>
        </w:rPr>
        <w:t>已在第一審法院辯論終結者，不得聲請調解。</w:t>
      </w:r>
    </w:p>
    <w:p w:rsidR="00A03523" w:rsidRPr="00A03523" w:rsidRDefault="00A03523" w:rsidP="00A03523">
      <w:pPr>
        <w:pStyle w:val="a3"/>
        <w:numPr>
          <w:ilvl w:val="0"/>
          <w:numId w:val="1"/>
        </w:numPr>
        <w:ind w:leftChars="0"/>
      </w:pPr>
      <w:r w:rsidRPr="00A03523">
        <w:rPr>
          <w:rFonts w:hint="eastAsia"/>
        </w:rPr>
        <w:t>特殊爭議事件，如</w:t>
      </w:r>
      <w:r w:rsidRPr="00A03523">
        <w:rPr>
          <w:rFonts w:hint="eastAsia"/>
          <w:u w:val="single"/>
        </w:rPr>
        <w:t>消費爭議、勞資爭議、三七五減租耕地租佃爭議、公害糾紛、公寓大廈爭議、建築爭議、著作權爭議、土地法上之不動產糾紛、市地重劃爭議、政府採購爭議、性騷擾事件、醫療糾紛</w:t>
      </w:r>
      <w:r>
        <w:rPr>
          <w:rFonts w:hint="eastAsia"/>
        </w:rPr>
        <w:t>等案件，請</w:t>
      </w:r>
      <w:r w:rsidRPr="00A03523">
        <w:rPr>
          <w:rFonts w:hint="eastAsia"/>
        </w:rPr>
        <w:t>向專責單位聲請調解。</w:t>
      </w:r>
    </w:p>
    <w:p w:rsidR="00A03523" w:rsidRPr="00A03523" w:rsidRDefault="00A03523" w:rsidP="00A03523">
      <w:pPr>
        <w:pStyle w:val="a3"/>
        <w:numPr>
          <w:ilvl w:val="0"/>
          <w:numId w:val="1"/>
        </w:numPr>
        <w:ind w:leftChars="0"/>
      </w:pPr>
      <w:r w:rsidRPr="00A03523">
        <w:rPr>
          <w:rFonts w:hint="eastAsia"/>
        </w:rPr>
        <w:t>依據鄉鎮市調解條例第</w:t>
      </w:r>
      <w:r w:rsidRPr="00A03523">
        <w:rPr>
          <w:rFonts w:hint="eastAsia"/>
        </w:rPr>
        <w:t>11</w:t>
      </w:r>
      <w:r w:rsidRPr="00A03523">
        <w:rPr>
          <w:rFonts w:hint="eastAsia"/>
        </w:rPr>
        <w:t>條規定，聲請調解，民事事件應得當事人之同意；告訴乃論之刑事事件應得被害人之同意，始得進行調解。</w:t>
      </w:r>
    </w:p>
    <w:p w:rsidR="00A03523" w:rsidRPr="00A03523" w:rsidRDefault="00A03523" w:rsidP="00A03523">
      <w:pPr>
        <w:pStyle w:val="a3"/>
        <w:numPr>
          <w:ilvl w:val="0"/>
          <w:numId w:val="1"/>
        </w:numPr>
        <w:ind w:leftChars="0"/>
      </w:pPr>
      <w:r w:rsidRPr="00A03523">
        <w:rPr>
          <w:rFonts w:hint="eastAsia"/>
        </w:rPr>
        <w:t>依據鄉鎮市調解條例第</w:t>
      </w:r>
      <w:r w:rsidRPr="00A03523">
        <w:rPr>
          <w:rFonts w:hint="eastAsia"/>
        </w:rPr>
        <w:t>13</w:t>
      </w:r>
      <w:r w:rsidRPr="00A03523">
        <w:rPr>
          <w:rFonts w:hint="eastAsia"/>
        </w:rPr>
        <w:t>、</w:t>
      </w:r>
      <w:r w:rsidRPr="00A03523">
        <w:rPr>
          <w:rFonts w:hint="eastAsia"/>
        </w:rPr>
        <w:t>35</w:t>
      </w:r>
      <w:r w:rsidRPr="00A03523">
        <w:rPr>
          <w:rFonts w:hint="eastAsia"/>
        </w:rPr>
        <w:t>條規定，聲請調解事件之管轄如下：</w:t>
      </w:r>
    </w:p>
    <w:p w:rsidR="00A03523" w:rsidRPr="00A03523" w:rsidRDefault="00A03523" w:rsidP="00A03523">
      <w:pPr>
        <w:pStyle w:val="a3"/>
        <w:numPr>
          <w:ilvl w:val="0"/>
          <w:numId w:val="9"/>
        </w:numPr>
        <w:ind w:leftChars="0"/>
      </w:pPr>
      <w:proofErr w:type="gramStart"/>
      <w:r w:rsidRPr="00A03523">
        <w:rPr>
          <w:rFonts w:hint="eastAsia"/>
        </w:rPr>
        <w:t>兩造均在同一</w:t>
      </w:r>
      <w:proofErr w:type="gramEnd"/>
      <w:r w:rsidRPr="00A03523">
        <w:rPr>
          <w:rFonts w:hint="eastAsia"/>
        </w:rPr>
        <w:t>區居住者，由該區調解委員會調解。</w:t>
      </w:r>
    </w:p>
    <w:p w:rsidR="00A03523" w:rsidRPr="00A03523" w:rsidRDefault="00A03523" w:rsidP="00A03523">
      <w:pPr>
        <w:pStyle w:val="a3"/>
        <w:numPr>
          <w:ilvl w:val="0"/>
          <w:numId w:val="9"/>
        </w:numPr>
        <w:ind w:leftChars="0"/>
      </w:pPr>
      <w:r w:rsidRPr="00A03523">
        <w:rPr>
          <w:rFonts w:hint="eastAsia"/>
        </w:rPr>
        <w:t>兩造不在同一區居住者，民事事件由</w:t>
      </w:r>
      <w:proofErr w:type="gramStart"/>
      <w:r w:rsidRPr="00A03523">
        <w:rPr>
          <w:rFonts w:hint="eastAsia"/>
        </w:rPr>
        <w:t>他造住</w:t>
      </w:r>
      <w:proofErr w:type="gramEnd"/>
      <w:r w:rsidRPr="00A03523">
        <w:rPr>
          <w:rFonts w:hint="eastAsia"/>
        </w:rPr>
        <w:t>、居所、營業所、事務所所在地，刑事事件由</w:t>
      </w:r>
      <w:proofErr w:type="gramStart"/>
      <w:r w:rsidRPr="00A03523">
        <w:rPr>
          <w:rFonts w:hint="eastAsia"/>
        </w:rPr>
        <w:t>他造住</w:t>
      </w:r>
      <w:proofErr w:type="gramEnd"/>
      <w:r w:rsidRPr="00A03523">
        <w:rPr>
          <w:rFonts w:hint="eastAsia"/>
        </w:rPr>
        <w:t>、居所所在地或犯罪地之區調解委員會調解。</w:t>
      </w:r>
    </w:p>
    <w:p w:rsidR="00A03523" w:rsidRPr="00A03523" w:rsidRDefault="00A03523" w:rsidP="00A03523">
      <w:pPr>
        <w:pStyle w:val="a3"/>
        <w:numPr>
          <w:ilvl w:val="0"/>
          <w:numId w:val="9"/>
        </w:numPr>
        <w:ind w:leftChars="0"/>
      </w:pPr>
      <w:r w:rsidRPr="00A03523">
        <w:rPr>
          <w:rFonts w:hint="eastAsia"/>
        </w:rPr>
        <w:t>經兩造同意，並</w:t>
      </w:r>
      <w:r w:rsidR="00EB0573">
        <w:rPr>
          <w:rFonts w:hint="eastAsia"/>
        </w:rPr>
        <w:t>經接受聲請之區調解委員會同意者，得由該區調解委員會調解，不受上述</w:t>
      </w:r>
      <w:bookmarkStart w:id="0" w:name="_GoBack"/>
      <w:bookmarkEnd w:id="0"/>
      <w:r w:rsidRPr="00A03523">
        <w:rPr>
          <w:rFonts w:hint="eastAsia"/>
        </w:rPr>
        <w:t>之限制。</w:t>
      </w:r>
    </w:p>
    <w:p w:rsidR="00A03523" w:rsidRDefault="00A03523" w:rsidP="00A03523"/>
    <w:p w:rsidR="00A03523" w:rsidRPr="007E1654" w:rsidRDefault="00A03523" w:rsidP="00A03523">
      <w:pPr>
        <w:rPr>
          <w:b/>
        </w:rPr>
      </w:pPr>
      <w:r w:rsidRPr="007E1654">
        <w:rPr>
          <w:rFonts w:hint="eastAsia"/>
          <w:b/>
        </w:rPr>
        <w:t>聲請調解應備文件</w:t>
      </w:r>
    </w:p>
    <w:p w:rsidR="00A03523" w:rsidRDefault="00A03523" w:rsidP="00A03523">
      <w:pPr>
        <w:pStyle w:val="a3"/>
        <w:numPr>
          <w:ilvl w:val="0"/>
          <w:numId w:val="10"/>
        </w:numPr>
        <w:ind w:leftChars="0"/>
      </w:pPr>
      <w:r>
        <w:rPr>
          <w:rFonts w:hint="eastAsia"/>
        </w:rPr>
        <w:t>填寫聲請調解書</w:t>
      </w:r>
    </w:p>
    <w:p w:rsidR="00A03523" w:rsidRDefault="00A03523" w:rsidP="00A03523">
      <w:pPr>
        <w:pStyle w:val="a3"/>
        <w:numPr>
          <w:ilvl w:val="0"/>
          <w:numId w:val="10"/>
        </w:numPr>
        <w:ind w:leftChars="0"/>
      </w:pPr>
      <w:r>
        <w:rPr>
          <w:rFonts w:hint="eastAsia"/>
        </w:rPr>
        <w:t>【車禍糾紛案件】請攜帶：</w:t>
      </w:r>
      <w:r w:rsidRPr="00A03523">
        <w:rPr>
          <w:rFonts w:hint="eastAsia"/>
        </w:rPr>
        <w:t>車禍登記聯單、道路交通事故現場圖、交通事故初步分析研判表</w:t>
      </w:r>
    </w:p>
    <w:p w:rsidR="00A03523" w:rsidRPr="007E1654" w:rsidRDefault="00A03523" w:rsidP="00A03523">
      <w:pPr>
        <w:pStyle w:val="a3"/>
        <w:numPr>
          <w:ilvl w:val="0"/>
          <w:numId w:val="10"/>
        </w:numPr>
        <w:ind w:leftChars="0"/>
      </w:pPr>
      <w:r>
        <w:rPr>
          <w:rFonts w:hint="eastAsia"/>
        </w:rPr>
        <w:t>【其他糾紛案件】請攜帶：</w:t>
      </w:r>
      <w:r w:rsidRPr="007E1654">
        <w:rPr>
          <w:rFonts w:hint="eastAsia"/>
        </w:rPr>
        <w:t>損害證明文件</w:t>
      </w:r>
    </w:p>
    <w:p w:rsidR="007E1654" w:rsidRDefault="007E1654" w:rsidP="007E1654"/>
    <w:p w:rsidR="007E1654" w:rsidRPr="007E1654" w:rsidRDefault="007E1654" w:rsidP="007E1654">
      <w:pPr>
        <w:rPr>
          <w:b/>
        </w:rPr>
      </w:pPr>
      <w:r w:rsidRPr="007E1654">
        <w:rPr>
          <w:rFonts w:hint="eastAsia"/>
          <w:b/>
        </w:rPr>
        <w:t>出席調解應備文件</w:t>
      </w:r>
    </w:p>
    <w:p w:rsidR="007E1654" w:rsidRDefault="007E1654" w:rsidP="007E1654">
      <w:pPr>
        <w:pStyle w:val="a3"/>
        <w:numPr>
          <w:ilvl w:val="0"/>
          <w:numId w:val="11"/>
        </w:numPr>
        <w:ind w:leftChars="0"/>
      </w:pPr>
      <w:r>
        <w:rPr>
          <w:rFonts w:hint="eastAsia"/>
        </w:rPr>
        <w:t>當事人請攜帶身分證、</w:t>
      </w:r>
      <w:r w:rsidRPr="007E1654">
        <w:rPr>
          <w:rFonts w:hint="eastAsia"/>
        </w:rPr>
        <w:t>印章（得以簽名代之），如為公司或商號請攜帶公司或商號大小章及公司或商業登記證明文件。</w:t>
      </w:r>
      <w:r>
        <w:rPr>
          <w:rFonts w:hint="eastAsia"/>
        </w:rPr>
        <w:tab/>
      </w:r>
    </w:p>
    <w:p w:rsidR="007E1654" w:rsidRDefault="007E1654" w:rsidP="007E1654">
      <w:pPr>
        <w:pStyle w:val="a3"/>
        <w:numPr>
          <w:ilvl w:val="0"/>
          <w:numId w:val="11"/>
        </w:numPr>
        <w:ind w:leftChars="0"/>
      </w:pPr>
      <w:r>
        <w:rPr>
          <w:rFonts w:hint="eastAsia"/>
        </w:rPr>
        <w:t>金融機構開立存款帳戶封面影本。</w:t>
      </w:r>
      <w:r>
        <w:rPr>
          <w:rFonts w:hint="eastAsia"/>
        </w:rPr>
        <w:t>(</w:t>
      </w:r>
      <w:r>
        <w:rPr>
          <w:rFonts w:hint="eastAsia"/>
        </w:rPr>
        <w:t>調解成立匯款用</w:t>
      </w:r>
      <w:r>
        <w:rPr>
          <w:rFonts w:hint="eastAsia"/>
        </w:rPr>
        <w:t>)</w:t>
      </w:r>
    </w:p>
    <w:p w:rsidR="007E1654" w:rsidRPr="007E1654" w:rsidRDefault="007E1654" w:rsidP="007E1654">
      <w:pPr>
        <w:pStyle w:val="a3"/>
        <w:numPr>
          <w:ilvl w:val="0"/>
          <w:numId w:val="11"/>
        </w:numPr>
        <w:ind w:leftChars="0"/>
      </w:pPr>
      <w:r>
        <w:rPr>
          <w:rFonts w:hint="eastAsia"/>
        </w:rPr>
        <w:t>交通事件之當事人請一併</w:t>
      </w:r>
      <w:r w:rsidRPr="007E1654">
        <w:rPr>
          <w:rFonts w:hint="eastAsia"/>
        </w:rPr>
        <w:t>攜帶</w:t>
      </w:r>
      <w:r w:rsidRPr="007E1654">
        <w:rPr>
          <w:rFonts w:hint="eastAsia"/>
          <w:u w:val="single"/>
        </w:rPr>
        <w:t>驗傷單</w:t>
      </w:r>
      <w:r w:rsidRPr="007E1654">
        <w:rPr>
          <w:rFonts w:hint="eastAsia"/>
          <w:u w:val="single"/>
        </w:rPr>
        <w:t>(</w:t>
      </w:r>
      <w:r w:rsidRPr="007E1654">
        <w:rPr>
          <w:rFonts w:hint="eastAsia"/>
          <w:u w:val="single"/>
        </w:rPr>
        <w:t>診斷書</w:t>
      </w:r>
      <w:r w:rsidRPr="007E1654">
        <w:rPr>
          <w:rFonts w:hint="eastAsia"/>
          <w:u w:val="single"/>
        </w:rPr>
        <w:t>)</w:t>
      </w:r>
      <w:r w:rsidRPr="007E1654">
        <w:rPr>
          <w:rFonts w:hint="eastAsia"/>
          <w:u w:val="single"/>
        </w:rPr>
        <w:t>及醫療收據、維修車輛估價單或維修收據</w:t>
      </w:r>
      <w:r w:rsidRPr="007E1654">
        <w:rPr>
          <w:rFonts w:hint="eastAsia"/>
        </w:rPr>
        <w:t>。如另有投保第三人責任保險者，請當事人自行通知保險公司理賠人員到場協同調解。</w:t>
      </w:r>
    </w:p>
    <w:p w:rsidR="007E1654" w:rsidRDefault="007E1654" w:rsidP="007E1654">
      <w:pPr>
        <w:pStyle w:val="a3"/>
        <w:numPr>
          <w:ilvl w:val="0"/>
          <w:numId w:val="11"/>
        </w:numPr>
        <w:ind w:leftChars="0"/>
      </w:pPr>
      <w:r>
        <w:rPr>
          <w:rFonts w:hint="eastAsia"/>
        </w:rPr>
        <w:t>診斷書、醫療收據及其他損害證明文件。</w:t>
      </w:r>
    </w:p>
    <w:p w:rsidR="007E1654" w:rsidRDefault="007E1654" w:rsidP="007E1654">
      <w:pPr>
        <w:pStyle w:val="a3"/>
        <w:numPr>
          <w:ilvl w:val="0"/>
          <w:numId w:val="11"/>
        </w:numPr>
        <w:ind w:leftChars="0"/>
      </w:pPr>
      <w:r>
        <w:rPr>
          <w:rFonts w:hint="eastAsia"/>
        </w:rPr>
        <w:t>當事人未滿</w:t>
      </w:r>
      <w:r>
        <w:rPr>
          <w:rFonts w:hint="eastAsia"/>
        </w:rPr>
        <w:t>20</w:t>
      </w:r>
      <w:r>
        <w:rPr>
          <w:rFonts w:hint="eastAsia"/>
        </w:rPr>
        <w:t>歲者，需由法定代理人</w:t>
      </w:r>
      <w:r>
        <w:rPr>
          <w:rFonts w:hint="eastAsia"/>
        </w:rPr>
        <w:t>(</w:t>
      </w:r>
      <w:r>
        <w:rPr>
          <w:rFonts w:hint="eastAsia"/>
        </w:rPr>
        <w:t>父母雙方</w:t>
      </w:r>
      <w:r>
        <w:rPr>
          <w:rFonts w:hint="eastAsia"/>
        </w:rPr>
        <w:t>)</w:t>
      </w:r>
      <w:r>
        <w:rPr>
          <w:rFonts w:hint="eastAsia"/>
        </w:rPr>
        <w:t>備妥身分證及當事人之身分證出席調解。</w:t>
      </w:r>
    </w:p>
    <w:p w:rsidR="007E1654" w:rsidRPr="00A03523" w:rsidRDefault="007E1654" w:rsidP="007E1654">
      <w:pPr>
        <w:pStyle w:val="a3"/>
        <w:numPr>
          <w:ilvl w:val="0"/>
          <w:numId w:val="11"/>
        </w:numPr>
        <w:ind w:leftChars="0"/>
      </w:pPr>
      <w:r>
        <w:rPr>
          <w:rFonts w:hint="eastAsia"/>
        </w:rPr>
        <w:t>當事人或法定代理人無法親自出席調解者，可填寫委任書，委任一位年滿</w:t>
      </w:r>
      <w:r>
        <w:rPr>
          <w:rFonts w:hint="eastAsia"/>
        </w:rPr>
        <w:t>20</w:t>
      </w:r>
      <w:r>
        <w:rPr>
          <w:rFonts w:hint="eastAsia"/>
        </w:rPr>
        <w:t>歲之人出席調解。受任</w:t>
      </w:r>
      <w:proofErr w:type="gramStart"/>
      <w:r>
        <w:rPr>
          <w:rFonts w:hint="eastAsia"/>
        </w:rPr>
        <w:t>人需備妥</w:t>
      </w:r>
      <w:proofErr w:type="gramEnd"/>
      <w:r>
        <w:rPr>
          <w:rFonts w:hint="eastAsia"/>
        </w:rPr>
        <w:t>身分證及當事人之身分證及其法定代理人之身分證出席調解。</w:t>
      </w:r>
    </w:p>
    <w:sectPr w:rsidR="007E1654" w:rsidRPr="00A0352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4A48"/>
    <w:multiLevelType w:val="hybridMultilevel"/>
    <w:tmpl w:val="C34E066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4A23F59"/>
    <w:multiLevelType w:val="hybridMultilevel"/>
    <w:tmpl w:val="E7DC7D84"/>
    <w:lvl w:ilvl="0" w:tplc="0C72E0D4">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nsid w:val="27ED597D"/>
    <w:multiLevelType w:val="hybridMultilevel"/>
    <w:tmpl w:val="8214CB1E"/>
    <w:lvl w:ilvl="0" w:tplc="681C8D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D69505A"/>
    <w:multiLevelType w:val="hybridMultilevel"/>
    <w:tmpl w:val="9EA235F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241750A"/>
    <w:multiLevelType w:val="hybridMultilevel"/>
    <w:tmpl w:val="B0762210"/>
    <w:lvl w:ilvl="0" w:tplc="0C72E0D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3E73619"/>
    <w:multiLevelType w:val="hybridMultilevel"/>
    <w:tmpl w:val="3A1EDB0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F2B6B45"/>
    <w:multiLevelType w:val="hybridMultilevel"/>
    <w:tmpl w:val="62082DC8"/>
    <w:lvl w:ilvl="0" w:tplc="0C72E0D4">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nsid w:val="56C167B0"/>
    <w:multiLevelType w:val="hybridMultilevel"/>
    <w:tmpl w:val="34867E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CA73AF8"/>
    <w:multiLevelType w:val="hybridMultilevel"/>
    <w:tmpl w:val="1A2EBD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0B818D7"/>
    <w:multiLevelType w:val="hybridMultilevel"/>
    <w:tmpl w:val="6826F33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23536C6"/>
    <w:multiLevelType w:val="hybridMultilevel"/>
    <w:tmpl w:val="1168103E"/>
    <w:lvl w:ilvl="0" w:tplc="0C72E0D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6"/>
  </w:num>
  <w:num w:numId="3">
    <w:abstractNumId w:val="8"/>
  </w:num>
  <w:num w:numId="4">
    <w:abstractNumId w:val="10"/>
  </w:num>
  <w:num w:numId="5">
    <w:abstractNumId w:val="4"/>
  </w:num>
  <w:num w:numId="6">
    <w:abstractNumId w:val="9"/>
  </w:num>
  <w:num w:numId="7">
    <w:abstractNumId w:val="0"/>
  </w:num>
  <w:num w:numId="8">
    <w:abstractNumId w:val="5"/>
  </w:num>
  <w:num w:numId="9">
    <w:abstractNumId w:val="1"/>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523"/>
    <w:rsid w:val="007E1654"/>
    <w:rsid w:val="00A03523"/>
    <w:rsid w:val="00CF4B25"/>
    <w:rsid w:val="00EB05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352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352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5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118</Words>
  <Characters>673</Characters>
  <Application>Microsoft Office Word</Application>
  <DocSecurity>0</DocSecurity>
  <Lines>5</Lines>
  <Paragraphs>1</Paragraphs>
  <ScaleCrop>false</ScaleCrop>
  <Company/>
  <LinksUpToDate>false</LinksUpToDate>
  <CharactersWithSpaces>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2020-04-09T01:10:00Z</dcterms:created>
  <dcterms:modified xsi:type="dcterms:W3CDTF">2020-04-09T01:27:00Z</dcterms:modified>
</cp:coreProperties>
</file>