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E3" w:rsidRDefault="00255AEA">
      <w:pPr>
        <w:pStyle w:val="Textbodyuser"/>
        <w:spacing w:after="100"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FB32E3" w:rsidRDefault="00255AEA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FB32E3" w:rsidRDefault="00255AEA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>□</w:t>
      </w:r>
      <w:r>
        <w:rPr>
          <w:rFonts w:ascii="標楷體" w:eastAsia="標楷體" w:hAnsi="標楷體"/>
          <w:color w:val="000000"/>
          <w:sz w:val="28"/>
          <w:szCs w:val="28"/>
        </w:rPr>
        <w:t>公庫有向非營業特種基金或專戶資金調度情形，如下：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</w:t>
      </w:r>
    </w:p>
    <w:p w:rsidR="00FB32E3" w:rsidRDefault="00255AEA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截至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112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年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FB32E3" w:rsidRDefault="00255AEA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FB32E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255AEA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255AEA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255AEA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255AEA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FB32E3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255AEA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255AEA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FB32E3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FB32E3"/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255AEA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FB32E3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32E3" w:rsidRDefault="00255AEA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32E3" w:rsidRDefault="00FB32E3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FB32E3" w:rsidRDefault="00255AEA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FB32E3" w:rsidRDefault="00255AEA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FB32E3" w:rsidRDefault="00255AEA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FB32E3" w:rsidRDefault="00255AEA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FB32E3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AEA" w:rsidRDefault="00255AEA">
      <w:r>
        <w:separator/>
      </w:r>
    </w:p>
  </w:endnote>
  <w:endnote w:type="continuationSeparator" w:id="0">
    <w:p w:rsidR="00255AEA" w:rsidRDefault="00255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AEA" w:rsidRDefault="00255AEA">
      <w:r>
        <w:rPr>
          <w:color w:val="000000"/>
        </w:rPr>
        <w:separator/>
      </w:r>
    </w:p>
  </w:footnote>
  <w:footnote w:type="continuationSeparator" w:id="0">
    <w:p w:rsidR="00255AEA" w:rsidRDefault="00255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274" w:rsidRDefault="00255AEA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B32E3"/>
    <w:rsid w:val="00255AEA"/>
    <w:rsid w:val="00481CA3"/>
    <w:rsid w:val="00FB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4911B-E749-492E-A6B0-79C77B0E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2</cp:revision>
  <cp:lastPrinted>2020-06-19T06:11:00Z</cp:lastPrinted>
  <dcterms:created xsi:type="dcterms:W3CDTF">2023-12-01T06:50:00Z</dcterms:created>
  <dcterms:modified xsi:type="dcterms:W3CDTF">2023-12-01T06:50:00Z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