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2" w:rsidRPr="00D94601" w:rsidRDefault="00AB3852">
      <w:pPr>
        <w:spacing w:line="200" w:lineRule="exact"/>
        <w:rPr>
          <w:rFonts w:ascii="標楷體" w:eastAsia="標楷體" w:hAnsi="標楷體"/>
          <w:lang w:eastAsia="zh-TW"/>
        </w:rPr>
      </w:pPr>
    </w:p>
    <w:p w:rsidR="009A3185" w:rsidRDefault="009A3185" w:rsidP="009A3185">
      <w:pPr>
        <w:spacing w:line="200" w:lineRule="exac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:rsidR="00106D48" w:rsidRDefault="00106D48" w:rsidP="009A3185">
      <w:pPr>
        <w:spacing w:line="200" w:lineRule="exac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:rsidR="00831D31" w:rsidRDefault="00831D31" w:rsidP="009A3185">
      <w:pPr>
        <w:spacing w:line="200" w:lineRule="exac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:rsidR="00831D31" w:rsidRDefault="00831D31" w:rsidP="009A3185">
      <w:pPr>
        <w:spacing w:line="200" w:lineRule="exact"/>
        <w:rPr>
          <w:rFonts w:ascii="標楷體" w:eastAsia="標楷體" w:hAnsi="標楷體" w:cs="新細明體"/>
          <w:color w:val="000000"/>
          <w:spacing w:val="-1"/>
          <w:sz w:val="32"/>
          <w:szCs w:val="32"/>
          <w:lang w:eastAsia="zh-TW"/>
        </w:rPr>
      </w:pPr>
    </w:p>
    <w:p w:rsidR="00663C50" w:rsidRPr="000A5B5E" w:rsidRDefault="00663C50" w:rsidP="00A63BDF">
      <w:pPr>
        <w:autoSpaceDE w:val="0"/>
        <w:autoSpaceDN w:val="0"/>
        <w:jc w:val="center"/>
        <w:rPr>
          <w:rFonts w:ascii="標楷體" w:eastAsia="標楷體" w:hAnsi="標楷體" w:cs="新細明體"/>
          <w:spacing w:val="-1"/>
          <w:sz w:val="32"/>
          <w:szCs w:val="32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1"/>
          <w:sz w:val="32"/>
          <w:szCs w:val="32"/>
          <w:lang w:eastAsia="zh-TW"/>
        </w:rPr>
        <w:t>金門縣</w:t>
      </w:r>
      <w:r w:rsidRPr="000A5B5E">
        <w:rPr>
          <w:rFonts w:ascii="標楷體" w:eastAsia="標楷體" w:hAnsi="標楷體" w:cs="新細明體" w:hint="eastAsia"/>
          <w:spacing w:val="-1"/>
          <w:sz w:val="32"/>
          <w:szCs w:val="32"/>
          <w:lang w:eastAsia="zh-TW"/>
        </w:rPr>
        <w:t>輔導農民團體及農業產銷班</w:t>
      </w:r>
    </w:p>
    <w:p w:rsidR="009A3185" w:rsidRPr="000A5B5E" w:rsidRDefault="00A63BDF" w:rsidP="00A63BDF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0A5B5E">
        <w:rPr>
          <w:rFonts w:ascii="標楷體" w:eastAsia="標楷體" w:hAnsi="標楷體" w:cs="新細明體" w:hint="eastAsia"/>
          <w:spacing w:val="-1"/>
          <w:sz w:val="32"/>
          <w:szCs w:val="32"/>
          <w:lang w:eastAsia="zh-TW"/>
        </w:rPr>
        <w:t>向中央爭取設施型農業計畫補助配合款</w:t>
      </w:r>
      <w:r w:rsidR="009A3185" w:rsidRPr="000A5B5E">
        <w:rPr>
          <w:rFonts w:ascii="標楷體" w:eastAsia="標楷體" w:hAnsi="標楷體" w:cs="新細明體" w:hint="eastAsia"/>
          <w:sz w:val="32"/>
          <w:szCs w:val="32"/>
          <w:lang w:eastAsia="zh-TW"/>
        </w:rPr>
        <w:t>作業要點</w:t>
      </w:r>
    </w:p>
    <w:p w:rsidR="00AB3852" w:rsidRPr="000A5B5E" w:rsidRDefault="00AB3852">
      <w:pPr>
        <w:spacing w:line="104" w:lineRule="exact"/>
        <w:rPr>
          <w:rFonts w:ascii="標楷體" w:eastAsia="標楷體" w:hAnsi="標楷體"/>
          <w:lang w:eastAsia="zh-TW"/>
        </w:rPr>
      </w:pPr>
    </w:p>
    <w:p w:rsidR="00AB3852" w:rsidRPr="000A5B5E" w:rsidRDefault="009A3185">
      <w:pPr>
        <w:autoSpaceDE w:val="0"/>
        <w:autoSpaceDN w:val="0"/>
        <w:ind w:left="8682"/>
        <w:rPr>
          <w:rFonts w:ascii="標楷體" w:eastAsia="標楷體" w:hAnsi="標楷體"/>
          <w:lang w:eastAsia="zh-TW"/>
        </w:rPr>
      </w:pPr>
      <w:r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       </w:t>
      </w:r>
      <w:r w:rsidR="00A63BDF" w:rsidRPr="000A5B5E">
        <w:rPr>
          <w:rFonts w:ascii="標楷體" w:eastAsia="標楷體" w:hAnsi="標楷體" w:cs="新細明體"/>
          <w:sz w:val="20"/>
          <w:szCs w:val="20"/>
          <w:lang w:eastAsia="zh-TW"/>
        </w:rPr>
        <w:t>1</w:t>
      </w:r>
      <w:r w:rsidR="00A63BDF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>10</w:t>
      </w:r>
      <w:r w:rsidR="00D94601" w:rsidRPr="000A5B5E">
        <w:rPr>
          <w:rFonts w:ascii="標楷體" w:eastAsia="標楷體" w:hAnsi="標楷體" w:cs="新細明體"/>
          <w:spacing w:val="6"/>
          <w:sz w:val="20"/>
          <w:szCs w:val="20"/>
          <w:lang w:eastAsia="zh-TW"/>
        </w:rPr>
        <w:t xml:space="preserve"> </w:t>
      </w:r>
      <w:r w:rsidR="00D94601" w:rsidRPr="000A5B5E">
        <w:rPr>
          <w:rFonts w:ascii="標楷體" w:eastAsia="標楷體" w:hAnsi="標楷體" w:cs="新細明體"/>
          <w:sz w:val="20"/>
          <w:szCs w:val="20"/>
          <w:lang w:eastAsia="zh-TW"/>
        </w:rPr>
        <w:t>年</w:t>
      </w:r>
      <w:r w:rsidR="00D94601" w:rsidRPr="000A5B5E">
        <w:rPr>
          <w:rFonts w:ascii="標楷體" w:eastAsia="標楷體" w:hAnsi="標楷體" w:cs="新細明體"/>
          <w:spacing w:val="6"/>
          <w:sz w:val="20"/>
          <w:szCs w:val="20"/>
          <w:lang w:eastAsia="zh-TW"/>
        </w:rPr>
        <w:t xml:space="preserve"> </w:t>
      </w:r>
      <w:r w:rsidR="00A63BDF" w:rsidRPr="000A5B5E">
        <w:rPr>
          <w:rFonts w:ascii="標楷體" w:eastAsia="標楷體" w:hAnsi="標楷體" w:cs="新細明體" w:hint="eastAsia"/>
          <w:spacing w:val="6"/>
          <w:sz w:val="20"/>
          <w:szCs w:val="20"/>
          <w:lang w:eastAsia="zh-TW"/>
        </w:rPr>
        <w:t>5</w:t>
      </w:r>
      <w:r w:rsidR="00D94601" w:rsidRPr="000A5B5E">
        <w:rPr>
          <w:rFonts w:ascii="標楷體" w:eastAsia="標楷體" w:hAnsi="標楷體" w:cs="新細明體"/>
          <w:spacing w:val="7"/>
          <w:sz w:val="20"/>
          <w:szCs w:val="20"/>
          <w:lang w:eastAsia="zh-TW"/>
        </w:rPr>
        <w:t xml:space="preserve"> </w:t>
      </w:r>
      <w:r w:rsidR="00D94601" w:rsidRPr="000A5B5E">
        <w:rPr>
          <w:rFonts w:ascii="標楷體" w:eastAsia="標楷體" w:hAnsi="標楷體" w:cs="新細明體"/>
          <w:sz w:val="20"/>
          <w:szCs w:val="20"/>
          <w:lang w:eastAsia="zh-TW"/>
        </w:rPr>
        <w:t>月</w:t>
      </w:r>
    </w:p>
    <w:p w:rsidR="00AB3852" w:rsidRPr="000A5B5E" w:rsidRDefault="00AB3852">
      <w:pPr>
        <w:spacing w:line="117" w:lineRule="exact"/>
        <w:rPr>
          <w:rFonts w:ascii="標楷體" w:eastAsia="標楷體" w:hAnsi="標楷體"/>
          <w:lang w:eastAsia="zh-TW"/>
        </w:rPr>
      </w:pPr>
    </w:p>
    <w:p w:rsidR="00AB3852" w:rsidRPr="000A5B5E" w:rsidRDefault="00400F4F" w:rsidP="00294E53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pacing w:val="-5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一</w:t>
      </w: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、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計畫目的：</w:t>
      </w:r>
      <w:r w:rsidR="002C081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配合</w:t>
      </w:r>
      <w:r w:rsidR="001E4DFD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中央</w:t>
      </w:r>
      <w:r w:rsidR="009A318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新農業政策，為推廣有機及友善耕作，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輔導</w:t>
      </w:r>
      <w:r w:rsidR="009A318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地區</w:t>
      </w:r>
      <w:r w:rsidR="00A63BD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農</w:t>
      </w:r>
      <w:r w:rsidR="00A63BD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民團體</w:t>
      </w:r>
      <w:r w:rsidR="00AF2E1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及農業產</w:t>
      </w:r>
      <w:proofErr w:type="gramStart"/>
      <w:r w:rsidR="00AF2E1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銷班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興設</w:t>
      </w:r>
      <w:proofErr w:type="gramEnd"/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結構加強</w:t>
      </w:r>
      <w:proofErr w:type="gramStart"/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型溫網</w:t>
      </w:r>
      <w:proofErr w:type="gramEnd"/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室設施</w:t>
      </w:r>
      <w:r w:rsidR="000328DE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、設</w:t>
      </w:r>
      <w:r w:rsidR="00291204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備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，</w:t>
      </w:r>
      <w:r w:rsidR="00291204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增進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防災生產效能，生產高品質蔬</w:t>
      </w:r>
      <w:r w:rsidR="009A3185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果產品，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提升經營效率及穩定市場供需</w:t>
      </w:r>
      <w:r w:rsidR="00143910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。因離島地區農業發展條件受限於氣候、旱季較長</w:t>
      </w:r>
      <w:r w:rsidR="00AD5D3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、耕地有限、土壤貧瘠</w:t>
      </w:r>
      <w:r w:rsidR="00143910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及資源匱乏等因素，加上</w:t>
      </w:r>
      <w:r w:rsidR="00294E53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冬季東北季風強勁，作物生長不易，且</w:t>
      </w:r>
      <w:r w:rsidR="00AD5D3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搭</w:t>
      </w:r>
      <w:proofErr w:type="gramStart"/>
      <w:r w:rsidR="00AD5D3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設溫網</w:t>
      </w:r>
      <w:proofErr w:type="gramEnd"/>
      <w:r w:rsidR="00AD5D3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室設施之材料</w:t>
      </w:r>
      <w:r w:rsidR="00143910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運輸成本</w:t>
      </w:r>
      <w:r w:rsidR="00294E53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高</w:t>
      </w:r>
      <w:r w:rsidR="00EC5BE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。</w:t>
      </w:r>
      <w:r w:rsidR="00AD5D3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為降低</w:t>
      </w:r>
      <w:r w:rsidR="00294E53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離島地區農業</w:t>
      </w:r>
      <w:r w:rsidR="00AD5D3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生產成本</w:t>
      </w:r>
      <w:r w:rsidR="00294E53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，</w:t>
      </w:r>
      <w:r w:rsidR="00EC5BE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穩定</w:t>
      </w:r>
      <w:r w:rsidR="00294E53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作物產量及品質，</w:t>
      </w:r>
      <w:r w:rsidR="00EC5BE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維護金門民眾食的安全，</w:t>
      </w:r>
      <w:r w:rsidR="005F1360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特訂定本要點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。</w:t>
      </w:r>
    </w:p>
    <w:p w:rsidR="00AB3852" w:rsidRPr="000A5B5E" w:rsidRDefault="00AB3852">
      <w:pPr>
        <w:spacing w:line="96" w:lineRule="exact"/>
        <w:rPr>
          <w:rFonts w:ascii="標楷體" w:eastAsia="標楷體" w:hAnsi="標楷體"/>
          <w:lang w:eastAsia="zh-TW"/>
        </w:rPr>
      </w:pPr>
    </w:p>
    <w:p w:rsidR="00AB3852" w:rsidRPr="000A5B5E" w:rsidRDefault="00D94601">
      <w:pPr>
        <w:autoSpaceDE w:val="0"/>
        <w:autoSpaceDN w:val="0"/>
        <w:ind w:left="993"/>
        <w:rPr>
          <w:rFonts w:ascii="標楷體" w:eastAsia="標楷體" w:hAnsi="標楷體"/>
          <w:lang w:eastAsia="zh-TW"/>
        </w:rPr>
      </w:pP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二、計畫期程：</w:t>
      </w:r>
      <w:r w:rsidR="001623A9" w:rsidRPr="000A5B5E">
        <w:rPr>
          <w:rFonts w:ascii="標楷體" w:eastAsia="標楷體" w:hAnsi="標楷體" w:cs="新細明體"/>
          <w:sz w:val="28"/>
          <w:szCs w:val="28"/>
          <w:lang w:eastAsia="zh-TW"/>
        </w:rPr>
        <w:t>1</w:t>
      </w:r>
      <w:r w:rsidR="00A63BDF" w:rsidRPr="000A5B5E">
        <w:rPr>
          <w:rFonts w:ascii="標楷體" w:eastAsia="標楷體" w:hAnsi="標楷體" w:cs="新細明體" w:hint="eastAsia"/>
          <w:sz w:val="28"/>
          <w:szCs w:val="28"/>
          <w:lang w:eastAsia="zh-TW"/>
        </w:rPr>
        <w:t>10</w:t>
      </w:r>
      <w:r w:rsidR="00091376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</w:t>
      </w: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="00A63BDF" w:rsidRPr="000A5B5E">
        <w:rPr>
          <w:rFonts w:ascii="標楷體" w:eastAsia="標楷體" w:hAnsi="標楷體" w:cs="新細明體" w:hint="eastAsia"/>
          <w:sz w:val="28"/>
          <w:szCs w:val="28"/>
          <w:lang w:eastAsia="zh-TW"/>
        </w:rPr>
        <w:t xml:space="preserve"> 5</w:t>
      </w:r>
      <w:r w:rsidR="00091376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</w:t>
      </w:r>
      <w:r w:rsidR="001623A9" w:rsidRPr="000A5B5E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至</w:t>
      </w:r>
      <w:r w:rsidR="00091376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</w:t>
      </w:r>
      <w:r w:rsidR="00A63BDF" w:rsidRPr="000A5B5E">
        <w:rPr>
          <w:rFonts w:ascii="標楷體" w:eastAsia="標楷體" w:hAnsi="標楷體" w:cs="新細明體" w:hint="eastAsia"/>
          <w:sz w:val="28"/>
          <w:szCs w:val="28"/>
          <w:lang w:eastAsia="zh-TW"/>
        </w:rPr>
        <w:t>110</w:t>
      </w:r>
      <w:r w:rsidR="00091376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</w:t>
      </w: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年</w:t>
      </w:r>
      <w:r w:rsidR="00091376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</w:t>
      </w:r>
      <w:r w:rsidR="001623A9" w:rsidRPr="000A5B5E">
        <w:rPr>
          <w:rFonts w:ascii="標楷體" w:eastAsia="標楷體" w:hAnsi="標楷體" w:cs="新細明體" w:hint="eastAsia"/>
          <w:sz w:val="28"/>
          <w:szCs w:val="28"/>
          <w:lang w:eastAsia="zh-TW"/>
        </w:rPr>
        <w:t>12</w:t>
      </w:r>
      <w:r w:rsidR="00091376" w:rsidRPr="000A5B5E">
        <w:rPr>
          <w:rFonts w:ascii="標楷體" w:eastAsia="標楷體" w:hAnsi="標楷體" w:cs="新細明體" w:hint="eastAsia"/>
          <w:sz w:val="20"/>
          <w:szCs w:val="20"/>
          <w:lang w:eastAsia="zh-TW"/>
        </w:rPr>
        <w:t xml:space="preserve"> </w:t>
      </w:r>
      <w:r w:rsidR="001623A9" w:rsidRPr="000A5B5E">
        <w:rPr>
          <w:rFonts w:ascii="標楷體" w:eastAsia="標楷體" w:hAnsi="標楷體" w:cs="新細明體" w:hint="eastAsia"/>
          <w:sz w:val="28"/>
          <w:szCs w:val="28"/>
          <w:lang w:eastAsia="zh-TW"/>
        </w:rPr>
        <w:t>月</w:t>
      </w: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。</w:t>
      </w:r>
    </w:p>
    <w:p w:rsidR="00AB3852" w:rsidRPr="000A5B5E" w:rsidRDefault="00AB3852">
      <w:pPr>
        <w:spacing w:line="96" w:lineRule="exact"/>
        <w:rPr>
          <w:rFonts w:ascii="標楷體" w:eastAsia="標楷體" w:hAnsi="標楷體"/>
          <w:lang w:eastAsia="zh-TW"/>
        </w:rPr>
      </w:pPr>
    </w:p>
    <w:p w:rsidR="00FE286B" w:rsidRPr="000A5B5E" w:rsidRDefault="00D94601" w:rsidP="00FE286B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pacing w:val="-5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三、計畫目標：</w:t>
      </w:r>
      <w:r w:rsidR="009C33F2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年度</w:t>
      </w:r>
      <w:r w:rsidR="009C33F2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輔導</w:t>
      </w:r>
      <w:r w:rsidR="00EE5F89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量</w:t>
      </w:r>
      <w:r w:rsidR="00663C50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以</w:t>
      </w:r>
      <w:r w:rsidR="00996C6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 xml:space="preserve"> </w:t>
      </w:r>
      <w:r w:rsidR="00A63BD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10</w:t>
      </w:r>
      <w:r w:rsidR="00EE5F89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 xml:space="preserve"> </w:t>
      </w:r>
      <w:r w:rsidR="009C33F2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公頃</w:t>
      </w:r>
      <w:r w:rsidR="00663C50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為限</w:t>
      </w:r>
      <w:r w:rsidR="00FE286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。</w:t>
      </w:r>
    </w:p>
    <w:p w:rsidR="00A63BDF" w:rsidRPr="000A5B5E" w:rsidRDefault="00D94601" w:rsidP="00FE286B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pacing w:val="-5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四、</w:t>
      </w:r>
      <w:r w:rsidR="00A63BD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依據</w:t>
      </w:r>
      <w:r w:rsidR="006D0655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:</w:t>
      </w:r>
      <w:r w:rsidR="002C081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金門縣農業試驗所</w:t>
      </w:r>
      <w:proofErr w:type="gramStart"/>
      <w:r w:rsidR="00FE286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110</w:t>
      </w:r>
      <w:proofErr w:type="gramEnd"/>
      <w:r w:rsidR="00FE286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年度農業發展基金</w:t>
      </w:r>
      <w:r w:rsidR="00A63BD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辦理</w:t>
      </w:r>
      <w:r w:rsidR="006772CE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，補助經費上限為2</w:t>
      </w:r>
      <w:proofErr w:type="gramStart"/>
      <w:r w:rsidR="006772CE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千萬</w:t>
      </w:r>
      <w:proofErr w:type="gramEnd"/>
      <w:r w:rsidR="00A63BD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。</w:t>
      </w:r>
    </w:p>
    <w:p w:rsidR="00AB3852" w:rsidRPr="000A5B5E" w:rsidRDefault="00A63BDF" w:rsidP="008B499C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pacing w:val="-5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五、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補助對象：農民團體</w:t>
      </w:r>
      <w:r w:rsidR="00DC5E4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(依據農業發展條例第七條，農民團體為農民依農會法、漁會法、農業合作社法、農田水利會組織通則所組織之農會、漁會、農業合作社及農田水利會)</w:t>
      </w:r>
      <w:r w:rsidR="00AF2E1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、農業產銷班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。</w:t>
      </w:r>
    </w:p>
    <w:p w:rsidR="00AB3852" w:rsidRPr="000A5B5E" w:rsidRDefault="00A63BDF" w:rsidP="00C65F9A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pacing w:val="-5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六</w:t>
      </w:r>
      <w:r w:rsidR="00291204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、申請條件：設施搭建之土地應為</w:t>
      </w:r>
      <w:r w:rsidR="00291204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自有土地或合法取得經營權之農地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。</w:t>
      </w:r>
    </w:p>
    <w:p w:rsidR="00AB3852" w:rsidRPr="000A5B5E" w:rsidRDefault="00A63BDF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/>
          <w:lang w:eastAsia="zh-TW"/>
        </w:rPr>
      </w:pPr>
      <w:r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七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、推動方向：以結合</w:t>
      </w:r>
      <w:r w:rsidR="00291204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有機驗證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或</w:t>
      </w:r>
      <w:r w:rsidR="00291204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農產品產銷履歷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、設施興設諮</w:t>
      </w:r>
      <w:r w:rsidR="00D94601" w:rsidRPr="000A5B5E">
        <w:rPr>
          <w:rFonts w:ascii="標楷體" w:eastAsia="標楷體" w:hAnsi="標楷體" w:cs="新細明體"/>
          <w:spacing w:val="-4"/>
          <w:sz w:val="28"/>
          <w:szCs w:val="28"/>
          <w:lang w:eastAsia="zh-TW"/>
        </w:rPr>
        <w:t>詢輔導、農業設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施保險、農業融資及農企業社會參與方式，結合</w:t>
      </w:r>
      <w:r w:rsidR="005B0D1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中央政策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及農</w:t>
      </w:r>
      <w:r w:rsidR="005B0D1B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業學術單位</w:t>
      </w:r>
      <w:r w:rsidR="005B0D1B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、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試驗改</w:t>
      </w:r>
      <w:r w:rsidR="00D94601" w:rsidRPr="000A5B5E">
        <w:rPr>
          <w:rFonts w:ascii="標楷體" w:eastAsia="標楷體" w:hAnsi="標楷體" w:cs="新細明體"/>
          <w:spacing w:val="-6"/>
          <w:sz w:val="28"/>
          <w:szCs w:val="28"/>
          <w:lang w:eastAsia="zh-TW"/>
        </w:rPr>
        <w:t>良場所資源共同推動，專案</w:t>
      </w:r>
      <w:r w:rsidR="00AF2E16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輔導新興產區</w:t>
      </w:r>
      <w:r w:rsidR="00AF2E1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、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示範農民</w:t>
      </w:r>
      <w:r w:rsidR="002C081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團體</w:t>
      </w:r>
      <w:r w:rsidR="00AF2E1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及農業產銷班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，規劃發展地區特色農</w:t>
      </w:r>
      <w:r w:rsidR="00D94601" w:rsidRPr="000A5B5E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業。</w:t>
      </w:r>
    </w:p>
    <w:p w:rsidR="00AB3852" w:rsidRPr="000A5B5E" w:rsidRDefault="00C65F9A">
      <w:pPr>
        <w:autoSpaceDE w:val="0"/>
        <w:autoSpaceDN w:val="0"/>
        <w:spacing w:before="2"/>
        <w:ind w:left="993"/>
        <w:rPr>
          <w:rFonts w:ascii="標楷體" w:eastAsia="標楷體" w:hAnsi="標楷體"/>
          <w:lang w:eastAsia="zh-TW"/>
        </w:rPr>
      </w:pPr>
      <w:r w:rsidRPr="000A5B5E">
        <w:rPr>
          <w:rFonts w:ascii="標楷體" w:eastAsia="標楷體" w:hAnsi="標楷體" w:cs="新細明體" w:hint="eastAsia"/>
          <w:spacing w:val="-1"/>
          <w:sz w:val="28"/>
          <w:szCs w:val="28"/>
          <w:lang w:eastAsia="zh-TW"/>
        </w:rPr>
        <w:t>八</w:t>
      </w:r>
      <w:r w:rsidR="00D94601" w:rsidRPr="000A5B5E">
        <w:rPr>
          <w:rFonts w:ascii="標楷體" w:eastAsia="標楷體" w:hAnsi="標楷體" w:cs="新細明體"/>
          <w:spacing w:val="-1"/>
          <w:sz w:val="28"/>
          <w:szCs w:val="28"/>
          <w:lang w:eastAsia="zh-TW"/>
        </w:rPr>
        <w:t>、</w:t>
      </w:r>
      <w:r w:rsidR="00D94601" w:rsidRPr="000A5B5E">
        <w:rPr>
          <w:rFonts w:ascii="標楷體" w:eastAsia="標楷體" w:hAnsi="標楷體" w:cs="新細明體"/>
          <w:sz w:val="28"/>
          <w:szCs w:val="28"/>
          <w:lang w:eastAsia="zh-TW"/>
        </w:rPr>
        <w:t>審查評分優先標的</w:t>
      </w:r>
    </w:p>
    <w:p w:rsidR="00AB3852" w:rsidRPr="000A5B5E" w:rsidRDefault="00AB3852">
      <w:pPr>
        <w:spacing w:line="96" w:lineRule="exact"/>
        <w:rPr>
          <w:rFonts w:ascii="標楷體" w:eastAsia="標楷體" w:hAnsi="標楷體"/>
          <w:lang w:eastAsia="zh-TW"/>
        </w:rPr>
      </w:pPr>
    </w:p>
    <w:p w:rsidR="00F47EDF" w:rsidRPr="000A5B5E" w:rsidRDefault="00D94601" w:rsidP="00F47EDF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(</w:t>
      </w:r>
      <w:proofErr w:type="gramStart"/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一</w:t>
      </w:r>
      <w:proofErr w:type="gramEnd"/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)種植蔬果為優先品項，並以供應夏季蔬果為優先。</w:t>
      </w:r>
    </w:p>
    <w:p w:rsidR="00F47EDF" w:rsidRDefault="00D94601" w:rsidP="00F47EDF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(二)生產之蔬菜或水果通過</w:t>
      </w:r>
      <w:r w:rsidR="00291204"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有機驗證</w:t>
      </w:r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、</w:t>
      </w:r>
      <w:r w:rsidR="00291204"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產銷履歷</w:t>
      </w:r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、安全蔬</w:t>
      </w:r>
      <w:r w:rsidRPr="00F47ED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果標章或</w:t>
      </w:r>
      <w:proofErr w:type="gramStart"/>
      <w:r w:rsidRPr="00F47ED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臺</w:t>
      </w:r>
      <w:proofErr w:type="gramEnd"/>
      <w:r w:rsidR="00F47EDF"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 xml:space="preserve">   </w:t>
      </w:r>
    </w:p>
    <w:p w:rsidR="00AB3852" w:rsidRPr="00F47EDF" w:rsidRDefault="00F47EDF" w:rsidP="00F47EDF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4"/>
          <w:sz w:val="28"/>
          <w:szCs w:val="28"/>
          <w:lang w:eastAsia="zh-TW"/>
        </w:rPr>
        <w:t xml:space="preserve">    </w:t>
      </w:r>
      <w:r w:rsidR="00D94601" w:rsidRPr="00F47EDF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灣農產品生產追溯條碼(QR-code)者。</w:t>
      </w:r>
    </w:p>
    <w:p w:rsidR="00AB3852" w:rsidRPr="00D94601" w:rsidRDefault="00AB3852">
      <w:pPr>
        <w:spacing w:line="96" w:lineRule="exact"/>
        <w:rPr>
          <w:rFonts w:ascii="標楷體" w:eastAsia="標楷體" w:hAnsi="標楷體"/>
          <w:lang w:eastAsia="zh-TW"/>
        </w:rPr>
      </w:pPr>
    </w:p>
    <w:p w:rsidR="00AB3852" w:rsidRPr="000A5B5E" w:rsidRDefault="00D94601">
      <w:pPr>
        <w:autoSpaceDE w:val="0"/>
        <w:autoSpaceDN w:val="0"/>
        <w:ind w:left="1474"/>
        <w:rPr>
          <w:rFonts w:ascii="標楷體" w:eastAsia="標楷體" w:hAnsi="標楷體"/>
          <w:lang w:eastAsia="zh-TW"/>
        </w:rPr>
      </w:pPr>
      <w:r w:rsidRPr="00D94601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(</w:t>
      </w:r>
      <w:r w:rsidRPr="00D94601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三</w:t>
      </w:r>
      <w:r w:rsidRPr="00D94601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)</w:t>
      </w:r>
      <w:r w:rsidR="00501BF2" w:rsidRPr="00D94601">
        <w:rPr>
          <w:rFonts w:ascii="標楷體" w:eastAsia="標楷體" w:hAnsi="標楷體" w:cs="新細明體"/>
          <w:color w:val="000000"/>
          <w:spacing w:val="4"/>
          <w:sz w:val="28"/>
          <w:szCs w:val="28"/>
          <w:lang w:eastAsia="zh-TW"/>
        </w:rPr>
        <w:t>設施集中</w:t>
      </w:r>
      <w:r w:rsidR="00501BF2" w:rsidRPr="00D94601">
        <w:rPr>
          <w:rFonts w:ascii="標楷體" w:eastAsia="標楷體" w:hAnsi="標楷體" w:cs="新細明體"/>
          <w:color w:val="000000"/>
          <w:spacing w:val="3"/>
          <w:sz w:val="28"/>
          <w:szCs w:val="28"/>
          <w:lang w:eastAsia="zh-TW"/>
        </w:rPr>
        <w:t>設</w:t>
      </w:r>
      <w:r w:rsidR="00501BF2" w:rsidRPr="000A5B5E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置，有助擴大生產規模及經營效率，穩定蔬果供需者。</w:t>
      </w:r>
    </w:p>
    <w:p w:rsidR="00AB3852" w:rsidRPr="000A5B5E" w:rsidRDefault="00AB3852">
      <w:pPr>
        <w:spacing w:line="94" w:lineRule="exact"/>
        <w:rPr>
          <w:rFonts w:ascii="標楷體" w:eastAsia="標楷體" w:hAnsi="標楷體"/>
          <w:lang w:eastAsia="zh-TW"/>
        </w:rPr>
      </w:pPr>
    </w:p>
    <w:p w:rsidR="00501BF2" w:rsidRPr="000A5B5E" w:rsidRDefault="00D94601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1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(</w:t>
      </w:r>
      <w:r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四</w:t>
      </w:r>
      <w:r w:rsidRPr="000A5B5E">
        <w:rPr>
          <w:rFonts w:ascii="標楷體" w:eastAsia="標楷體" w:hAnsi="標楷體" w:cs="新細明體"/>
          <w:sz w:val="28"/>
          <w:szCs w:val="28"/>
          <w:lang w:eastAsia="zh-TW"/>
        </w:rPr>
        <w:t>)</w:t>
      </w:r>
      <w:r w:rsidR="00501BF2"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投資農民團體</w:t>
      </w:r>
      <w:r w:rsidR="00AF2E16" w:rsidRPr="000A5B5E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、農業產銷班</w:t>
      </w:r>
      <w:r w:rsidR="00501BF2" w:rsidRPr="000A5B5E">
        <w:rPr>
          <w:rFonts w:ascii="標楷體" w:eastAsia="標楷體" w:hAnsi="標楷體" w:cs="新細明體"/>
          <w:spacing w:val="4"/>
          <w:sz w:val="28"/>
          <w:szCs w:val="28"/>
          <w:lang w:eastAsia="zh-TW"/>
        </w:rPr>
        <w:t>共同發展設</w:t>
      </w:r>
      <w:r w:rsidR="00501BF2" w:rsidRPr="000A5B5E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施農業</w:t>
      </w:r>
      <w:r w:rsidR="00291204" w:rsidRPr="000A5B5E">
        <w:rPr>
          <w:rFonts w:ascii="標楷體" w:eastAsia="標楷體" w:hAnsi="標楷體" w:cs="新細明體" w:hint="eastAsia"/>
          <w:spacing w:val="3"/>
          <w:sz w:val="28"/>
          <w:szCs w:val="28"/>
          <w:lang w:eastAsia="zh-TW"/>
        </w:rPr>
        <w:t>者</w:t>
      </w:r>
      <w:r w:rsidR="00501BF2" w:rsidRPr="000A5B5E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。</w:t>
      </w:r>
    </w:p>
    <w:p w:rsidR="002C0811" w:rsidRPr="000A5B5E" w:rsidRDefault="00C65F9A" w:rsidP="002C0811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pacing w:val="-5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九</w:t>
      </w:r>
      <w:r w:rsidR="00D94601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、</w:t>
      </w:r>
      <w:r w:rsidR="00AC234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補助項目及標準：以輔導設置強化結構型設施</w:t>
      </w:r>
      <w:proofErr w:type="gramStart"/>
      <w:r w:rsidR="00AC234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之溫網室</w:t>
      </w:r>
      <w:proofErr w:type="gramEnd"/>
      <w:r w:rsidR="001348E9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設施及設備</w:t>
      </w:r>
      <w:r w:rsidR="00AC234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為本計畫重點，依</w:t>
      </w:r>
      <w:r w:rsidR="001E4DFD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行政院農業委員會</w:t>
      </w:r>
      <w:proofErr w:type="gramStart"/>
      <w:r w:rsidR="001E4DFD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農糧署</w:t>
      </w:r>
      <w:r w:rsidR="00AC234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主管</w:t>
      </w:r>
      <w:proofErr w:type="gramEnd"/>
      <w:r w:rsidR="00AC234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計畫補助基準規定</w:t>
      </w:r>
      <w:r w:rsidR="00AC234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完成審查通過後，加碼補助，以降低設置成本，鼓勵更多農民團體</w:t>
      </w:r>
      <w:r w:rsidR="00AF2E16" w:rsidRPr="000A5B5E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、農業產銷班</w:t>
      </w:r>
      <w:r w:rsidR="00AC234F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投入</w:t>
      </w:r>
      <w:r w:rsidR="00AC234F" w:rsidRPr="000A5B5E">
        <w:rPr>
          <w:rFonts w:ascii="標楷體" w:eastAsia="標楷體" w:hAnsi="標楷體" w:cs="新細明體"/>
          <w:spacing w:val="-5"/>
          <w:sz w:val="28"/>
          <w:szCs w:val="28"/>
          <w:lang w:eastAsia="zh-TW"/>
        </w:rPr>
        <w:t>。</w:t>
      </w:r>
    </w:p>
    <w:p w:rsidR="002C0811" w:rsidRDefault="00291204" w:rsidP="002C0811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十、</w:t>
      </w:r>
      <w:r w:rsidR="002C081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補助原則：離島</w:t>
      </w:r>
      <w:proofErr w:type="gramStart"/>
      <w:r w:rsidR="002C081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地區溫網室</w:t>
      </w:r>
      <w:proofErr w:type="gramEnd"/>
      <w:r w:rsidR="002C0811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設施中央補助 60%；設備中央補助 5</w:t>
      </w:r>
      <w:r w:rsidR="002C0811" w:rsidRPr="002C0811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0%，完成中央審核通過後本縣另加碼補助</w:t>
      </w:r>
      <w:r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最高</w:t>
      </w:r>
      <w:r w:rsidR="002C0811" w:rsidRPr="002C0811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20%。</w:t>
      </w:r>
      <w:r w:rsidR="00AC234F">
        <w:rPr>
          <w:rFonts w:ascii="標楷體" w:eastAsia="標楷體" w:hAnsi="標楷體" w:cs="新細明體" w:hint="eastAsia"/>
          <w:color w:val="FF0000"/>
          <w:spacing w:val="-5"/>
          <w:sz w:val="28"/>
          <w:szCs w:val="28"/>
          <w:lang w:eastAsia="zh-TW"/>
        </w:rPr>
        <w:t xml:space="preserve">  </w:t>
      </w:r>
    </w:p>
    <w:p w:rsidR="00D72F49" w:rsidRDefault="00AC234F" w:rsidP="00D72F49">
      <w:pPr>
        <w:pStyle w:val="a3"/>
        <w:numPr>
          <w:ilvl w:val="0"/>
          <w:numId w:val="2"/>
        </w:numPr>
        <w:autoSpaceDE w:val="0"/>
        <w:autoSpaceDN w:val="0"/>
        <w:spacing w:line="302" w:lineRule="auto"/>
        <w:ind w:leftChars="0" w:right="3010"/>
        <w:rPr>
          <w:rFonts w:ascii="標楷體" w:eastAsia="標楷體" w:hAnsi="標楷體" w:cs="新細明體"/>
          <w:sz w:val="28"/>
          <w:szCs w:val="28"/>
          <w:lang w:eastAsia="zh-TW"/>
        </w:rPr>
      </w:pPr>
      <w:r w:rsidRPr="00AC234F">
        <w:rPr>
          <w:rFonts w:ascii="標楷體" w:eastAsia="標楷體" w:hAnsi="標楷體" w:cs="新細明體"/>
          <w:sz w:val="28"/>
          <w:szCs w:val="28"/>
          <w:lang w:eastAsia="zh-TW"/>
        </w:rPr>
        <w:t>加強型水平棚架網室</w:t>
      </w:r>
      <w:r w:rsidRPr="00AC234F">
        <w:rPr>
          <w:rFonts w:ascii="標楷體" w:eastAsia="標楷體" w:hAnsi="標楷體" w:cs="新細明體" w:hint="eastAsia"/>
          <w:sz w:val="28"/>
          <w:szCs w:val="28"/>
          <w:lang w:eastAsia="zh-TW"/>
        </w:rPr>
        <w:t>:</w:t>
      </w:r>
    </w:p>
    <w:p w:rsidR="00D3576F" w:rsidRDefault="00D3576F" w:rsidP="00D72F49">
      <w:pPr>
        <w:pStyle w:val="a3"/>
        <w:autoSpaceDE w:val="0"/>
        <w:autoSpaceDN w:val="0"/>
        <w:spacing w:line="302" w:lineRule="auto"/>
        <w:ind w:leftChars="0" w:left="2194" w:right="3010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D3576F" w:rsidRDefault="00D3576F" w:rsidP="00D72F49">
      <w:pPr>
        <w:pStyle w:val="a3"/>
        <w:autoSpaceDE w:val="0"/>
        <w:autoSpaceDN w:val="0"/>
        <w:spacing w:line="302" w:lineRule="auto"/>
        <w:ind w:leftChars="0" w:left="2194" w:right="3010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AC234F" w:rsidRDefault="00AC234F" w:rsidP="00A806D1">
      <w:pPr>
        <w:pStyle w:val="a3"/>
        <w:autoSpaceDE w:val="0"/>
        <w:autoSpaceDN w:val="0"/>
        <w:spacing w:line="303" w:lineRule="auto"/>
        <w:ind w:leftChars="0" w:left="2194"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 w:rsidRPr="00D72F49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離島地區</w:t>
      </w:r>
      <w:r w:rsidRPr="00D72F49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中央</w:t>
      </w:r>
      <w:r w:rsidRPr="00D72F49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每公頃最高補助 120 萬元</w:t>
      </w:r>
      <w:r w:rsidR="002C0811" w:rsidRPr="00D72F49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，本縣加碼</w:t>
      </w:r>
      <w:r w:rsidRPr="00D72F49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補助最高20%，金額最高補助40萬元。</w:t>
      </w:r>
    </w:p>
    <w:p w:rsidR="008B499C" w:rsidRPr="008B499C" w:rsidRDefault="00AC234F" w:rsidP="008B499C">
      <w:pPr>
        <w:pStyle w:val="a3"/>
        <w:numPr>
          <w:ilvl w:val="0"/>
          <w:numId w:val="2"/>
        </w:numPr>
        <w:autoSpaceDE w:val="0"/>
        <w:autoSpaceDN w:val="0"/>
        <w:spacing w:line="303" w:lineRule="auto"/>
        <w:ind w:leftChars="0"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 w:rsidRPr="008B499C">
        <w:rPr>
          <w:rFonts w:ascii="標楷體" w:eastAsia="標楷體" w:hAnsi="標楷體" w:cs="新細明體"/>
          <w:sz w:val="28"/>
          <w:szCs w:val="28"/>
          <w:lang w:eastAsia="zh-TW"/>
        </w:rPr>
        <w:t>簡易式</w:t>
      </w:r>
      <w:proofErr w:type="gramStart"/>
      <w:r w:rsidRPr="008B499C">
        <w:rPr>
          <w:rFonts w:ascii="標楷體" w:eastAsia="標楷體" w:hAnsi="標楷體" w:cs="新細明體"/>
          <w:sz w:val="28"/>
          <w:szCs w:val="28"/>
          <w:lang w:eastAsia="zh-TW"/>
        </w:rPr>
        <w:t>塑膠布溫網室</w:t>
      </w:r>
      <w:proofErr w:type="gramEnd"/>
      <w:r w:rsidR="008B499C" w:rsidRPr="008B499C">
        <w:rPr>
          <w:rFonts w:ascii="標楷體" w:eastAsia="標楷體" w:hAnsi="標楷體" w:cs="新細明體" w:hint="eastAsia"/>
          <w:sz w:val="28"/>
          <w:szCs w:val="28"/>
          <w:lang w:eastAsia="zh-TW"/>
        </w:rPr>
        <w:t>:</w:t>
      </w:r>
    </w:p>
    <w:p w:rsidR="008B499C" w:rsidRDefault="008B499C" w:rsidP="008B499C">
      <w:pPr>
        <w:pStyle w:val="a3"/>
        <w:autoSpaceDE w:val="0"/>
        <w:autoSpaceDN w:val="0"/>
        <w:spacing w:line="303" w:lineRule="auto"/>
        <w:ind w:leftChars="0" w:left="2194"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 w:rsidRPr="008B499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離島</w:t>
      </w:r>
      <w:r w:rsidRPr="008B499C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地區中央</w:t>
      </w:r>
      <w:r w:rsidRPr="008B499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每公頃最高補助 390 萬元</w:t>
      </w:r>
      <w:r w:rsidRPr="008B499C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，本縣加碼補助最高20%，金額最高補助130萬元。</w:t>
      </w:r>
    </w:p>
    <w:p w:rsidR="008B499C" w:rsidRP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pacing w:val="3"/>
          <w:sz w:val="28"/>
          <w:szCs w:val="28"/>
          <w:lang w:eastAsia="zh-TW"/>
        </w:rPr>
        <w:t xml:space="preserve">          </w:t>
      </w:r>
      <w:r w:rsidRPr="008B499C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(</w:t>
      </w:r>
      <w:r w:rsidRPr="008B499C">
        <w:rPr>
          <w:rFonts w:ascii="標楷體" w:eastAsia="標楷體" w:hAnsi="標楷體" w:cs="新細明體" w:hint="eastAsia"/>
          <w:spacing w:val="11"/>
          <w:sz w:val="28"/>
          <w:szCs w:val="28"/>
          <w:lang w:eastAsia="zh-TW"/>
        </w:rPr>
        <w:t>三</w:t>
      </w:r>
      <w:r w:rsidRPr="008B499C">
        <w:rPr>
          <w:rFonts w:ascii="標楷體" w:eastAsia="標楷體" w:hAnsi="標楷體" w:cs="新細明體"/>
          <w:spacing w:val="3"/>
          <w:sz w:val="28"/>
          <w:szCs w:val="28"/>
          <w:lang w:eastAsia="zh-TW"/>
        </w:rPr>
        <w:t>)</w:t>
      </w:r>
      <w:r w:rsidRPr="008B499C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結構型</w:t>
      </w:r>
      <w:proofErr w:type="gramStart"/>
      <w:r w:rsidRPr="008B499C">
        <w:rPr>
          <w:rFonts w:ascii="標楷體" w:eastAsia="標楷體" w:hAnsi="標楷體" w:cs="新細明體"/>
          <w:spacing w:val="11"/>
          <w:sz w:val="28"/>
          <w:szCs w:val="28"/>
          <w:lang w:eastAsia="zh-TW"/>
        </w:rPr>
        <w:t>鋼骨溫</w:t>
      </w:r>
      <w:r w:rsidRPr="008B499C">
        <w:rPr>
          <w:rFonts w:ascii="標楷體" w:eastAsia="標楷體" w:hAnsi="標楷體" w:cs="新細明體"/>
          <w:spacing w:val="10"/>
          <w:sz w:val="28"/>
          <w:szCs w:val="28"/>
          <w:lang w:eastAsia="zh-TW"/>
        </w:rPr>
        <w:t>網室</w:t>
      </w:r>
      <w:proofErr w:type="gramEnd"/>
      <w:r w:rsidRPr="008B499C">
        <w:rPr>
          <w:rFonts w:ascii="標楷體" w:eastAsia="標楷體" w:hAnsi="標楷體" w:cs="新細明體" w:hint="eastAsia"/>
          <w:spacing w:val="10"/>
          <w:sz w:val="28"/>
          <w:szCs w:val="28"/>
          <w:lang w:eastAsia="zh-TW"/>
        </w:rPr>
        <w:t>:</w:t>
      </w:r>
    </w:p>
    <w:p w:rsidR="008B499C" w:rsidRPr="008B499C" w:rsidRDefault="008B499C" w:rsidP="008B499C">
      <w:pPr>
        <w:pStyle w:val="a3"/>
        <w:autoSpaceDE w:val="0"/>
        <w:autoSpaceDN w:val="0"/>
        <w:spacing w:line="303" w:lineRule="auto"/>
        <w:ind w:leftChars="0" w:left="2194"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 w:rsidRPr="008B499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離島地區</w:t>
      </w:r>
      <w:r w:rsidRPr="008B499C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中央</w:t>
      </w:r>
      <w:r w:rsidRPr="008B499C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每公頃最高補助 780 萬元</w:t>
      </w:r>
      <w:r w:rsidRPr="008B499C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，本縣加碼補助最高20%，金額最高補助260萬元。</w:t>
      </w: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 xml:space="preserve">          </w:t>
      </w:r>
      <w:r w:rsidRPr="008B499C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 xml:space="preserve">(四) </w:t>
      </w:r>
      <w:proofErr w:type="gramStart"/>
      <w:r w:rsidRPr="008B499C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溫網室</w:t>
      </w:r>
      <w:proofErr w:type="gramEnd"/>
      <w:r w:rsidRPr="008B499C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設施環境控制及生產設備：</w:t>
      </w:r>
    </w:p>
    <w:tbl>
      <w:tblPr>
        <w:tblStyle w:val="aa"/>
        <w:tblpPr w:leftFromText="180" w:rightFromText="180" w:vertAnchor="page" w:horzAnchor="margin" w:tblpXSpec="center" w:tblpY="4733"/>
        <w:tblW w:w="0" w:type="auto"/>
        <w:tblLook w:val="04A0" w:firstRow="1" w:lastRow="0" w:firstColumn="1" w:lastColumn="0" w:noHBand="0" w:noVBand="1"/>
      </w:tblPr>
      <w:tblGrid>
        <w:gridCol w:w="1103"/>
        <w:gridCol w:w="3084"/>
        <w:gridCol w:w="2504"/>
        <w:gridCol w:w="2504"/>
      </w:tblGrid>
      <w:tr w:rsidR="00D3576F" w:rsidRPr="000031DA" w:rsidTr="00D3576F">
        <w:trPr>
          <w:trHeight w:val="736"/>
        </w:trPr>
        <w:tc>
          <w:tcPr>
            <w:tcW w:w="1103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補助項目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規格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中央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補助額度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金門縣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補助額度</w:t>
            </w:r>
          </w:p>
        </w:tc>
      </w:tr>
      <w:tr w:rsidR="00D3576F" w:rsidRPr="000031DA" w:rsidTr="00D3576F">
        <w:trPr>
          <w:trHeight w:val="1486"/>
        </w:trPr>
        <w:tc>
          <w:tcPr>
            <w:tcW w:w="1103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溫室環控系統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45"/>
                <w:w w:val="95"/>
                <w:sz w:val="28"/>
                <w:szCs w:val="28"/>
              </w:rPr>
              <w:t>包含監控控制系統介面及軟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體、溫室內部環境監控及外部環境監測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補助不超過1/2為原則，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15萬元/組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萬元/組</w:t>
            </w:r>
          </w:p>
        </w:tc>
      </w:tr>
      <w:tr w:rsidR="00D3576F" w:rsidRPr="000031DA" w:rsidTr="00D3576F">
        <w:trPr>
          <w:trHeight w:val="1945"/>
        </w:trPr>
        <w:tc>
          <w:tcPr>
            <w:tcW w:w="1103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水養液供應系統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包含控制系統介面及軟體，水養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液管理（pH和EC監控），具依</w:t>
            </w:r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日輻射或土壤水分等監測值控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制灌溉功能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補助不超過1/2為原則，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10.5萬元/組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4.2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萬元/組</w:t>
            </w:r>
          </w:p>
        </w:tc>
      </w:tr>
      <w:tr w:rsidR="00D3576F" w:rsidRPr="000031DA" w:rsidTr="00D3576F">
        <w:trPr>
          <w:trHeight w:val="1486"/>
        </w:trPr>
        <w:tc>
          <w:tcPr>
            <w:tcW w:w="1103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內循環風扇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 xml:space="preserve">補助不超過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49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/>
                <w:spacing w:val="-5"/>
                <w:sz w:val="28"/>
                <w:szCs w:val="28"/>
              </w:rPr>
              <w:t>4,500</w:t>
            </w:r>
            <w:r w:rsidRPr="00813FA7">
              <w:rPr>
                <w:rFonts w:ascii="標楷體" w:eastAsia="標楷體" w:hAnsi="標楷體"/>
                <w:spacing w:val="-1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元/</w:t>
            </w:r>
            <w:r w:rsidRPr="00813FA7">
              <w:rPr>
                <w:rFonts w:ascii="標楷體" w:eastAsia="標楷體" w:hAnsi="標楷體"/>
                <w:spacing w:val="-7"/>
                <w:sz w:val="28"/>
                <w:szCs w:val="28"/>
              </w:rPr>
              <w:t xml:space="preserve">台；每 </w:t>
            </w: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0.1</w:t>
            </w:r>
            <w:r w:rsidRPr="00813FA7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公頃最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高補助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6 台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13FA7">
              <w:rPr>
                <w:rFonts w:ascii="標楷體" w:eastAsia="標楷體" w:hAnsi="標楷體"/>
                <w:spacing w:val="-5"/>
                <w:sz w:val="28"/>
                <w:szCs w:val="28"/>
              </w:rPr>
              <w:t>,</w:t>
            </w:r>
            <w:r w:rsidRPr="00813FA7">
              <w:rPr>
                <w:rFonts w:ascii="標楷體" w:eastAsia="標楷體" w:hAnsi="標楷體" w:hint="eastAsia"/>
                <w:spacing w:val="-5"/>
                <w:sz w:val="28"/>
                <w:szCs w:val="28"/>
              </w:rPr>
              <w:t>8</w:t>
            </w:r>
            <w:r w:rsidRPr="00813FA7">
              <w:rPr>
                <w:rFonts w:ascii="標楷體" w:eastAsia="標楷體" w:hAnsi="標楷體"/>
                <w:spacing w:val="-5"/>
                <w:sz w:val="28"/>
                <w:szCs w:val="28"/>
              </w:rPr>
              <w:t>00</w:t>
            </w:r>
            <w:r w:rsidRPr="00813FA7">
              <w:rPr>
                <w:rFonts w:ascii="標楷體" w:eastAsia="標楷體" w:hAnsi="標楷體"/>
                <w:spacing w:val="-1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元/</w:t>
            </w:r>
            <w:r w:rsidRPr="00813FA7">
              <w:rPr>
                <w:rFonts w:ascii="標楷體" w:eastAsia="標楷體" w:hAnsi="標楷體"/>
                <w:spacing w:val="-7"/>
                <w:sz w:val="28"/>
                <w:szCs w:val="28"/>
              </w:rPr>
              <w:t xml:space="preserve">台；每 </w:t>
            </w: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0.1</w:t>
            </w:r>
            <w:r w:rsidRPr="00813FA7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公頃最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高補助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6 台</w:t>
            </w:r>
          </w:p>
        </w:tc>
      </w:tr>
      <w:tr w:rsidR="00D3576F" w:rsidRPr="000031DA" w:rsidTr="00D3576F">
        <w:trPr>
          <w:trHeight w:val="1519"/>
        </w:trPr>
        <w:tc>
          <w:tcPr>
            <w:tcW w:w="1103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降溫風扇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pStyle w:val="TableParagraph"/>
              <w:spacing w:before="23" w:line="300" w:lineRule="exact"/>
              <w:ind w:left="0" w:right="38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558DA">
              <w:rPr>
                <w:rFonts w:ascii="標楷體" w:eastAsia="標楷體" w:hAnsi="標楷體"/>
                <w:spacing w:val="-4"/>
                <w:sz w:val="28"/>
                <w:szCs w:val="28"/>
              </w:rPr>
              <w:t>又名負壓</w:t>
            </w:r>
            <w:proofErr w:type="gramEnd"/>
            <w:r w:rsidRPr="00B558DA">
              <w:rPr>
                <w:rFonts w:ascii="標楷體" w:eastAsia="標楷體" w:hAnsi="標楷體"/>
                <w:spacing w:val="-4"/>
                <w:sz w:val="28"/>
                <w:szCs w:val="28"/>
              </w:rPr>
              <w:t>風扇，須1馬力以上， 具不</w:t>
            </w:r>
            <w:proofErr w:type="gramStart"/>
            <w:r w:rsidRPr="00B558DA">
              <w:rPr>
                <w:rFonts w:ascii="標楷體" w:eastAsia="標楷體" w:hAnsi="標楷體"/>
                <w:spacing w:val="-4"/>
                <w:sz w:val="28"/>
                <w:szCs w:val="28"/>
              </w:rPr>
              <w:t>銹</w:t>
            </w:r>
            <w:proofErr w:type="gramEnd"/>
            <w:r w:rsidRPr="00B558DA">
              <w:rPr>
                <w:rFonts w:ascii="標楷體" w:eastAsia="標楷體" w:hAnsi="標楷體"/>
                <w:spacing w:val="-4"/>
                <w:sz w:val="28"/>
                <w:szCs w:val="28"/>
              </w:rPr>
              <w:t>鋼片，葉片面直徑50</w:t>
            </w:r>
            <w:proofErr w:type="gramStart"/>
            <w:r w:rsidRPr="00B558DA">
              <w:rPr>
                <w:rFonts w:ascii="標楷體" w:eastAsia="標楷體" w:hAnsi="標楷體"/>
                <w:spacing w:val="-4"/>
                <w:sz w:val="28"/>
                <w:szCs w:val="28"/>
              </w:rPr>
              <w:t>”</w:t>
            </w:r>
            <w:proofErr w:type="gramEnd"/>
            <w:r w:rsidRPr="00B558DA">
              <w:rPr>
                <w:rFonts w:ascii="標楷體" w:eastAsia="標楷體" w:hAnsi="標楷體"/>
                <w:spacing w:val="-4"/>
                <w:sz w:val="28"/>
                <w:szCs w:val="28"/>
              </w:rPr>
              <w:t>， 並含活動百葉及離心推桿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7"/>
                <w:sz w:val="28"/>
                <w:szCs w:val="28"/>
              </w:rPr>
              <w:t>補助不超過1/2為原則，</w:t>
            </w:r>
            <w:r w:rsidRPr="00813FA7">
              <w:rPr>
                <w:rFonts w:ascii="標楷體" w:eastAsia="標楷體" w:hAnsi="標楷體"/>
                <w:spacing w:val="-6"/>
                <w:sz w:val="28"/>
                <w:szCs w:val="28"/>
              </w:rPr>
              <w:t>2.4</w:t>
            </w:r>
            <w:r w:rsidRPr="00813FA7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萬元/台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-7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spacing w:val="-7"/>
                <w:sz w:val="28"/>
                <w:szCs w:val="28"/>
              </w:rPr>
              <w:t>0.96</w:t>
            </w:r>
            <w:r w:rsidRPr="00813FA7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萬元/台</w:t>
            </w:r>
          </w:p>
        </w:tc>
      </w:tr>
      <w:tr w:rsidR="00D3576F" w:rsidRPr="000031DA" w:rsidTr="00D3576F">
        <w:trPr>
          <w:trHeight w:val="957"/>
        </w:trPr>
        <w:tc>
          <w:tcPr>
            <w:tcW w:w="1103" w:type="dxa"/>
            <w:vMerge w:val="restart"/>
          </w:tcPr>
          <w:p w:rsidR="00D3576F" w:rsidRPr="00D3576F" w:rsidRDefault="00D3576F" w:rsidP="00D3576F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D3576F">
              <w:rPr>
                <w:rFonts w:ascii="標楷體" w:eastAsia="標楷體" w:hAnsi="標楷體"/>
                <w:w w:val="95"/>
                <w:sz w:val="28"/>
                <w:szCs w:val="28"/>
              </w:rPr>
              <w:t>光控式電動遮蔭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pStyle w:val="TableParagraph"/>
              <w:spacing w:before="128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內遮蔭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line="312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 xml:space="preserve">補助不超過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49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為原則，12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</w:t>
            </w: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公頃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line="31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</w:t>
            </w: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公頃</w:t>
            </w:r>
          </w:p>
        </w:tc>
      </w:tr>
      <w:tr w:rsidR="00D3576F" w:rsidRPr="000031DA" w:rsidTr="00D3576F">
        <w:trPr>
          <w:trHeight w:val="972"/>
        </w:trPr>
        <w:tc>
          <w:tcPr>
            <w:tcW w:w="1103" w:type="dxa"/>
            <w:vMerge/>
          </w:tcPr>
          <w:p w:rsidR="00D3576F" w:rsidRPr="00813FA7" w:rsidRDefault="00D3576F" w:rsidP="00D3576F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3084" w:type="dxa"/>
          </w:tcPr>
          <w:p w:rsidR="00D3576F" w:rsidRPr="00813FA7" w:rsidRDefault="00D3576F" w:rsidP="00D3576F">
            <w:pPr>
              <w:pStyle w:val="TableParagraph"/>
              <w:spacing w:before="128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外遮蔭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line="312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 xml:space="preserve">補助不超過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49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為原則，15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</w:t>
            </w: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公頃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line="31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</w:t>
            </w: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公頃</w:t>
            </w:r>
          </w:p>
        </w:tc>
      </w:tr>
      <w:tr w:rsidR="00D3576F" w:rsidRPr="000031DA" w:rsidTr="00D3576F">
        <w:trPr>
          <w:trHeight w:val="1041"/>
        </w:trPr>
        <w:tc>
          <w:tcPr>
            <w:tcW w:w="1103" w:type="dxa"/>
            <w:vMerge w:val="restart"/>
          </w:tcPr>
          <w:p w:rsidR="00D3576F" w:rsidRPr="000C56F4" w:rsidRDefault="00D3576F" w:rsidP="00D3576F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proofErr w:type="gramStart"/>
            <w:r w:rsidRPr="000C56F4">
              <w:rPr>
                <w:rFonts w:ascii="標楷體" w:eastAsia="標楷體" w:hAnsi="標楷體"/>
                <w:w w:val="95"/>
                <w:sz w:val="28"/>
                <w:szCs w:val="28"/>
              </w:rPr>
              <w:t>微霧降溫</w:t>
            </w:r>
            <w:proofErr w:type="gramEnd"/>
            <w:r w:rsidRPr="000C56F4">
              <w:rPr>
                <w:rFonts w:ascii="標楷體" w:eastAsia="標楷體" w:hAnsi="標楷體"/>
                <w:w w:val="95"/>
                <w:sz w:val="28"/>
                <w:szCs w:val="28"/>
              </w:rPr>
              <w:t>系統</w:t>
            </w:r>
          </w:p>
        </w:tc>
        <w:tc>
          <w:tcPr>
            <w:tcW w:w="3084" w:type="dxa"/>
          </w:tcPr>
          <w:p w:rsidR="00D3576F" w:rsidRPr="00813FA7" w:rsidRDefault="00D3576F" w:rsidP="00D3576F">
            <w:pPr>
              <w:pStyle w:val="TableParagraph"/>
              <w:spacing w:before="23" w:line="300" w:lineRule="exact"/>
              <w:ind w:left="0" w:right="38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塑膠管路(含主機、管路、噴嘴、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電動(磁)閥與控制系統等。)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before="27" w:line="333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26"/>
                <w:w w:val="95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86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3.75萬/0.1公頃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before="27" w:line="333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1.5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萬/0.1公頃</w:t>
            </w:r>
          </w:p>
        </w:tc>
      </w:tr>
      <w:tr w:rsidR="00D3576F" w:rsidRPr="000031DA" w:rsidTr="00D3576F">
        <w:trPr>
          <w:trHeight w:val="1166"/>
        </w:trPr>
        <w:tc>
          <w:tcPr>
            <w:tcW w:w="1103" w:type="dxa"/>
            <w:vMerge/>
          </w:tcPr>
          <w:p w:rsidR="00D3576F" w:rsidRPr="000C56F4" w:rsidRDefault="00D3576F" w:rsidP="00D3576F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3084" w:type="dxa"/>
          </w:tcPr>
          <w:p w:rsidR="00D3576F" w:rsidRPr="00813FA7" w:rsidRDefault="00D3576F" w:rsidP="00D3576F">
            <w:pPr>
              <w:pStyle w:val="TableParagraph"/>
              <w:spacing w:before="223" w:line="199" w:lineRule="auto"/>
              <w:ind w:left="0" w:right="38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4"/>
                <w:sz w:val="28"/>
                <w:szCs w:val="28"/>
              </w:rPr>
              <w:t>金屬管路(含主機、管路、噴嘴、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電動(磁)閥與控制系統等。)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before="72" w:line="199" w:lineRule="auto"/>
              <w:ind w:right="96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補助不超過1/2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>為原則，12</w:t>
            </w:r>
            <w:r w:rsidRPr="00813FA7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萬元/0.1公頃</w:t>
            </w:r>
          </w:p>
        </w:tc>
        <w:tc>
          <w:tcPr>
            <w:tcW w:w="2504" w:type="dxa"/>
          </w:tcPr>
          <w:p w:rsidR="00D3576F" w:rsidRPr="00813FA7" w:rsidRDefault="00D3576F" w:rsidP="00D3576F">
            <w:pPr>
              <w:pStyle w:val="TableParagraph"/>
              <w:spacing w:before="72" w:line="199" w:lineRule="auto"/>
              <w:ind w:left="0" w:right="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spacing w:val="-2"/>
                <w:sz w:val="28"/>
                <w:szCs w:val="28"/>
              </w:rPr>
              <w:t>4.8</w:t>
            </w:r>
            <w:r w:rsidRPr="00813FA7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萬元/0.1公頃</w:t>
            </w:r>
          </w:p>
        </w:tc>
      </w:tr>
    </w:tbl>
    <w:p w:rsidR="00D3576F" w:rsidRP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D3576F" w:rsidRPr="00D3576F" w:rsidRDefault="00D3576F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P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tbl>
      <w:tblPr>
        <w:tblStyle w:val="aa"/>
        <w:tblpPr w:leftFromText="180" w:rightFromText="180" w:vertAnchor="page" w:horzAnchor="margin" w:tblpXSpec="center" w:tblpY="1074"/>
        <w:tblW w:w="0" w:type="auto"/>
        <w:tblLook w:val="04A0" w:firstRow="1" w:lastRow="0" w:firstColumn="1" w:lastColumn="0" w:noHBand="0" w:noVBand="1"/>
      </w:tblPr>
      <w:tblGrid>
        <w:gridCol w:w="1101"/>
        <w:gridCol w:w="3079"/>
        <w:gridCol w:w="2500"/>
        <w:gridCol w:w="2500"/>
      </w:tblGrid>
      <w:tr w:rsidR="00D3576F" w:rsidRPr="000031DA" w:rsidTr="00172422">
        <w:tc>
          <w:tcPr>
            <w:tcW w:w="1101" w:type="dxa"/>
            <w:vMerge w:val="restart"/>
          </w:tcPr>
          <w:p w:rsidR="00D3576F" w:rsidRPr="00214F92" w:rsidRDefault="00D3576F" w:rsidP="00172422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214F92">
              <w:rPr>
                <w:rFonts w:ascii="標楷體" w:eastAsia="標楷體" w:hAnsi="標楷體"/>
                <w:w w:val="95"/>
                <w:sz w:val="28"/>
                <w:szCs w:val="28"/>
              </w:rPr>
              <w:t>自動噴藥系統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before="131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手動控制系統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12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26"/>
                <w:w w:val="95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86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3.75萬元/0.1公頃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1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5萬元/0.1公頃</w:t>
            </w:r>
          </w:p>
        </w:tc>
      </w:tr>
      <w:tr w:rsidR="00D3576F" w:rsidRPr="000031DA" w:rsidTr="00172422">
        <w:trPr>
          <w:trHeight w:val="60"/>
        </w:trPr>
        <w:tc>
          <w:tcPr>
            <w:tcW w:w="1101" w:type="dxa"/>
            <w:vMerge/>
          </w:tcPr>
          <w:p w:rsidR="00D3576F" w:rsidRPr="00813FA7" w:rsidRDefault="00D3576F" w:rsidP="00172422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before="162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電腦控制系統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00" w:lineRule="exact"/>
              <w:ind w:right="196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1/2為原則，6</w:t>
            </w:r>
            <w:r w:rsidRPr="00813FA7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萬元/0.1公頃</w:t>
            </w:r>
          </w:p>
        </w:tc>
        <w:tc>
          <w:tcPr>
            <w:tcW w:w="2500" w:type="dxa"/>
          </w:tcPr>
          <w:p w:rsidR="00D3576F" w:rsidRDefault="00D3576F" w:rsidP="00172422">
            <w:pPr>
              <w:pStyle w:val="TableParagraph"/>
              <w:spacing w:line="300" w:lineRule="exact"/>
              <w:ind w:left="0" w:right="19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2.4</w:t>
            </w:r>
            <w:r w:rsidRPr="00813FA7">
              <w:rPr>
                <w:rFonts w:ascii="標楷體" w:eastAsia="標楷體" w:hAnsi="標楷體"/>
                <w:spacing w:val="-62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萬元/0.1公頃</w:t>
            </w:r>
          </w:p>
          <w:p w:rsidR="00D3576F" w:rsidRPr="00813FA7" w:rsidRDefault="00D3576F" w:rsidP="00172422">
            <w:pPr>
              <w:pStyle w:val="TableParagraph"/>
              <w:spacing w:line="300" w:lineRule="exact"/>
              <w:ind w:left="0" w:right="19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</w:tcPr>
          <w:p w:rsidR="00D3576F" w:rsidRPr="005375F9" w:rsidRDefault="00D3576F" w:rsidP="00172422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5375F9">
              <w:rPr>
                <w:rFonts w:ascii="標楷體" w:eastAsia="標楷體" w:hAnsi="標楷體"/>
                <w:w w:val="95"/>
                <w:sz w:val="28"/>
                <w:szCs w:val="28"/>
              </w:rPr>
              <w:t>自走懸吊</w:t>
            </w:r>
            <w:proofErr w:type="gramStart"/>
            <w:r w:rsidRPr="005375F9">
              <w:rPr>
                <w:rFonts w:ascii="標楷體" w:eastAsia="標楷體" w:hAnsi="標楷體"/>
                <w:w w:val="95"/>
                <w:sz w:val="28"/>
                <w:szCs w:val="28"/>
              </w:rPr>
              <w:t>桿</w:t>
            </w:r>
            <w:proofErr w:type="gramEnd"/>
            <w:r w:rsidRPr="005375F9">
              <w:rPr>
                <w:rFonts w:ascii="標楷體" w:eastAsia="標楷體" w:hAnsi="標楷體"/>
                <w:w w:val="95"/>
                <w:sz w:val="28"/>
                <w:szCs w:val="28"/>
              </w:rPr>
              <w:t>式噴灑系統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before="24" w:line="199" w:lineRule="auto"/>
              <w:ind w:left="0" w:right="10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含懸吊軌道、行走架、噴</w:t>
            </w:r>
            <w:proofErr w:type="gramStart"/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桿</w:t>
            </w:r>
            <w:proofErr w:type="gramEnd"/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、噴頭、管路、馬達與傳動機構、高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壓幫浦及控制系統等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72" w:line="199" w:lineRule="auto"/>
              <w:ind w:left="0" w:right="98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4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2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813FA7">
              <w:rPr>
                <w:rFonts w:ascii="標楷體" w:eastAsia="標楷體" w:hAnsi="標楷體"/>
                <w:spacing w:val="1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萬元/組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72" w:line="199" w:lineRule="auto"/>
              <w:ind w:left="0" w:right="9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2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萬元/組</w:t>
            </w: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</w:tcPr>
          <w:p w:rsidR="00D3576F" w:rsidRPr="005375F9" w:rsidRDefault="00D3576F" w:rsidP="00172422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水質過濾系統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line="300" w:lineRule="exact"/>
              <w:ind w:left="0" w:right="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含</w:t>
            </w:r>
            <w:proofErr w:type="gramStart"/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砂濾及</w:t>
            </w:r>
            <w:proofErr w:type="gramEnd"/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軟水設備，軟水造</w:t>
            </w:r>
            <w:proofErr w:type="gramStart"/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水能力需可</w:t>
            </w:r>
            <w:proofErr w:type="gramEnd"/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達日產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>50噸以上，軟水</w:t>
            </w:r>
            <w:proofErr w:type="gramStart"/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>儲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槽需10噸</w:t>
            </w:r>
            <w:proofErr w:type="gramEnd"/>
            <w:r w:rsidRPr="00813FA7">
              <w:rPr>
                <w:rFonts w:ascii="標楷體" w:eastAsia="標楷體" w:hAnsi="標楷體"/>
                <w:sz w:val="28"/>
                <w:szCs w:val="28"/>
              </w:rPr>
              <w:t>以上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28" w:line="33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26"/>
                <w:w w:val="95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86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22.5萬元/組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28" w:line="33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萬元/組</w:t>
            </w: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</w:tcPr>
          <w:p w:rsidR="00D3576F" w:rsidRPr="005375F9" w:rsidRDefault="00D3576F" w:rsidP="00172422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溫室電動天窗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11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26"/>
                <w:w w:val="95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1/2</w:t>
            </w:r>
            <w:r w:rsidRPr="00813FA7">
              <w:rPr>
                <w:rFonts w:ascii="標楷體" w:eastAsia="標楷體" w:hAnsi="標楷體"/>
                <w:spacing w:val="86"/>
                <w:sz w:val="28"/>
                <w:szCs w:val="28"/>
              </w:rPr>
              <w:t xml:space="preserve"> 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為原則，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550元</w:t>
            </w:r>
            <w:r w:rsidRPr="00813FA7">
              <w:rPr>
                <w:rFonts w:ascii="標楷體" w:eastAsia="標楷體" w:hAnsi="標楷體"/>
                <w:spacing w:val="11"/>
                <w:w w:val="95"/>
                <w:sz w:val="28"/>
                <w:szCs w:val="28"/>
              </w:rPr>
              <w:t>/</w:t>
            </w:r>
            <w:r w:rsidRPr="00813FA7">
              <w:rPr>
                <w:rFonts w:ascii="標楷體" w:eastAsia="標楷體" w:hAnsi="標楷體"/>
                <w:spacing w:val="3"/>
                <w:w w:val="95"/>
                <w:sz w:val="28"/>
                <w:szCs w:val="28"/>
              </w:rPr>
              <w:t>平方公尺；合計每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0.1公頃最高補助13.2萬元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11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19"/>
                <w:w w:val="95"/>
                <w:sz w:val="28"/>
                <w:szCs w:val="28"/>
              </w:rPr>
              <w:t>，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220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元</w:t>
            </w:r>
            <w:r w:rsidRPr="00813FA7">
              <w:rPr>
                <w:rFonts w:ascii="標楷體" w:eastAsia="標楷體" w:hAnsi="標楷體"/>
                <w:spacing w:val="11"/>
                <w:w w:val="95"/>
                <w:sz w:val="28"/>
                <w:szCs w:val="28"/>
              </w:rPr>
              <w:t>/</w:t>
            </w:r>
            <w:r w:rsidRPr="00813FA7">
              <w:rPr>
                <w:rFonts w:ascii="標楷體" w:eastAsia="標楷體" w:hAnsi="標楷體"/>
                <w:spacing w:val="3"/>
                <w:w w:val="95"/>
                <w:sz w:val="28"/>
                <w:szCs w:val="28"/>
              </w:rPr>
              <w:t>平方公尺；合計每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0.1公頃最高補助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5.28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萬元</w:t>
            </w: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</w:tcPr>
          <w:p w:rsidR="00D3576F" w:rsidRPr="005375F9" w:rsidRDefault="00D3576F" w:rsidP="00172422">
            <w:pPr>
              <w:rPr>
                <w:rFonts w:ascii="標楷體" w:eastAsia="標楷體" w:hAnsi="標楷體"/>
                <w:w w:val="95"/>
                <w:sz w:val="28"/>
                <w:szCs w:val="28"/>
              </w:rPr>
            </w:pPr>
            <w:r w:rsidRPr="005375F9">
              <w:rPr>
                <w:rFonts w:ascii="標楷體" w:eastAsia="標楷體" w:hAnsi="標楷體"/>
                <w:w w:val="95"/>
                <w:sz w:val="28"/>
                <w:szCs w:val="28"/>
              </w:rPr>
              <w:t>屋頂電動</w:t>
            </w:r>
            <w:proofErr w:type="gramStart"/>
            <w:r w:rsidRPr="005375F9">
              <w:rPr>
                <w:rFonts w:ascii="標楷體" w:eastAsia="標楷體" w:hAnsi="標楷體"/>
                <w:w w:val="95"/>
                <w:sz w:val="28"/>
                <w:szCs w:val="28"/>
              </w:rPr>
              <w:t>捲</w:t>
            </w:r>
            <w:proofErr w:type="gramEnd"/>
            <w:r w:rsidRPr="005375F9">
              <w:rPr>
                <w:rFonts w:ascii="標楷體" w:eastAsia="標楷體" w:hAnsi="標楷體"/>
                <w:w w:val="95"/>
                <w:sz w:val="28"/>
                <w:szCs w:val="28"/>
              </w:rPr>
              <w:t>揚設備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line="300" w:lineRule="exact"/>
              <w:ind w:left="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以</w:t>
            </w:r>
            <w:proofErr w:type="gramStart"/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原有溫網室</w:t>
            </w:r>
            <w:proofErr w:type="gramEnd"/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設施結構為基礎</w:t>
            </w: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增設之含電動</w:t>
            </w:r>
            <w:proofErr w:type="gramStart"/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捲揚器、固定夾</w:t>
            </w:r>
            <w:proofErr w:type="gramEnd"/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、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固定壓條及控制系統等設備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75" w:line="199" w:lineRule="auto"/>
              <w:ind w:left="0" w:right="79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z w:val="28"/>
                <w:szCs w:val="28"/>
              </w:rPr>
              <w:t>12.5</w:t>
            </w:r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萬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/0.1</w:t>
            </w:r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公頃(以溫室面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積算)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75" w:line="199" w:lineRule="auto"/>
              <w:ind w:left="0" w:right="7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 w:hint="eastAsia"/>
                <w:sz w:val="28"/>
                <w:szCs w:val="28"/>
              </w:rPr>
              <w:t>，5</w:t>
            </w:r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萬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/0.1</w:t>
            </w:r>
            <w:r w:rsidRPr="00813FA7">
              <w:rPr>
                <w:rFonts w:ascii="標楷體" w:eastAsia="標楷體" w:hAnsi="標楷體"/>
                <w:spacing w:val="16"/>
                <w:sz w:val="28"/>
                <w:szCs w:val="28"/>
              </w:rPr>
              <w:t>公頃(以溫室面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積算)</w:t>
            </w: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  <w:vMerge w:val="restart"/>
          </w:tcPr>
          <w:p w:rsidR="00D3576F" w:rsidRPr="00813FA7" w:rsidRDefault="00D3576F" w:rsidP="00172422">
            <w:pPr>
              <w:pStyle w:val="TableParagraph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栽培高架設施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before="161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固定式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0" w:line="33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補助不超過1/2為原則，每0.1公頃最高補助12萬元。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10" w:line="33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，每0.1公頃最高補助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4.8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萬元。</w:t>
            </w: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  <w:vMerge/>
          </w:tcPr>
          <w:p w:rsidR="00D3576F" w:rsidRPr="00813FA7" w:rsidRDefault="00D3576F" w:rsidP="0017242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移動式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1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補助不超過1/2為原則，每0.1</w:t>
            </w:r>
            <w:r w:rsidRPr="00813FA7">
              <w:rPr>
                <w:rFonts w:ascii="標楷體" w:eastAsia="標楷體" w:hAnsi="標楷體"/>
                <w:spacing w:val="38"/>
                <w:w w:val="95"/>
                <w:sz w:val="28"/>
                <w:szCs w:val="28"/>
              </w:rPr>
              <w:t xml:space="preserve"> 公頃最高補助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16.5萬元。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line="312" w:lineRule="exact"/>
              <w:ind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，每0.1</w:t>
            </w:r>
            <w:r w:rsidRPr="00813FA7">
              <w:rPr>
                <w:rFonts w:ascii="標楷體" w:eastAsia="標楷體" w:hAnsi="標楷體"/>
                <w:spacing w:val="38"/>
                <w:w w:val="95"/>
                <w:sz w:val="28"/>
                <w:szCs w:val="28"/>
              </w:rPr>
              <w:t xml:space="preserve"> 公頃最高補助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6.6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萬元。</w:t>
            </w:r>
          </w:p>
        </w:tc>
      </w:tr>
      <w:tr w:rsidR="00D3576F" w:rsidRPr="000031DA" w:rsidTr="00172422">
        <w:trPr>
          <w:trHeight w:val="1329"/>
        </w:trPr>
        <w:tc>
          <w:tcPr>
            <w:tcW w:w="1101" w:type="dxa"/>
          </w:tcPr>
          <w:p w:rsidR="00D3576F" w:rsidRPr="00813FA7" w:rsidRDefault="00D3576F" w:rsidP="00172422">
            <w:pPr>
              <w:pStyle w:val="TableParagraph"/>
              <w:spacing w:before="216"/>
              <w:ind w:left="0" w:right="239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其他設備</w:t>
            </w:r>
          </w:p>
        </w:tc>
        <w:tc>
          <w:tcPr>
            <w:tcW w:w="3079" w:type="dxa"/>
          </w:tcPr>
          <w:p w:rsidR="00D3576F" w:rsidRPr="00813FA7" w:rsidRDefault="00D3576F" w:rsidP="00172422">
            <w:pPr>
              <w:pStyle w:val="TableParagraph"/>
              <w:spacing w:before="175" w:line="199" w:lineRule="auto"/>
              <w:ind w:left="0" w:right="7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凡未列於本附表前揭項目，</w:t>
            </w:r>
            <w:proofErr w:type="gramStart"/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涉及溫網室</w:t>
            </w:r>
            <w:proofErr w:type="gramEnd"/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設施</w:t>
            </w:r>
            <w:proofErr w:type="gramStart"/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內部、外部</w:t>
            </w:r>
            <w:proofErr w:type="gramEnd"/>
            <w:r w:rsidRPr="00813FA7">
              <w:rPr>
                <w:rFonts w:ascii="標楷體" w:eastAsia="標楷體" w:hAnsi="標楷體"/>
                <w:spacing w:val="-1"/>
                <w:sz w:val="28"/>
                <w:szCs w:val="28"/>
              </w:rPr>
              <w:t>及土壤等環境監測設備、環境調控設備、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養液供應及相關生產設備等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24" w:line="199" w:lineRule="auto"/>
              <w:ind w:left="0" w:right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13FA7">
              <w:rPr>
                <w:rFonts w:ascii="標楷體" w:eastAsia="標楷體" w:hAnsi="標楷體"/>
                <w:spacing w:val="-3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>1/2為原則，檢</w:t>
            </w:r>
            <w:r w:rsidRPr="00813FA7">
              <w:rPr>
                <w:rFonts w:ascii="標楷體" w:eastAsia="標楷體" w:hAnsi="標楷體"/>
                <w:spacing w:val="-8"/>
                <w:sz w:val="28"/>
                <w:szCs w:val="28"/>
              </w:rPr>
              <w:t>附3張估價單，經各區分署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與地方政府或試驗改良場所評估</w:t>
            </w:r>
            <w:proofErr w:type="gramStart"/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符合溫網室</w:t>
            </w:r>
            <w:proofErr w:type="gramEnd"/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栽培需求，納入計畫輔導。</w:t>
            </w:r>
          </w:p>
        </w:tc>
        <w:tc>
          <w:tcPr>
            <w:tcW w:w="2500" w:type="dxa"/>
          </w:tcPr>
          <w:p w:rsidR="00D3576F" w:rsidRPr="00813FA7" w:rsidRDefault="00D3576F" w:rsidP="00172422">
            <w:pPr>
              <w:pStyle w:val="TableParagraph"/>
              <w:spacing w:before="24" w:line="199" w:lineRule="auto"/>
              <w:ind w:left="0" w:right="9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加碼</w:t>
            </w:r>
            <w:r w:rsidRPr="00813FA7">
              <w:rPr>
                <w:rFonts w:ascii="標楷體" w:eastAsia="標楷體" w:hAnsi="標楷體"/>
                <w:spacing w:val="7"/>
                <w:sz w:val="28"/>
                <w:szCs w:val="28"/>
              </w:rPr>
              <w:t>補助不超過</w:t>
            </w:r>
            <w:r w:rsidRPr="00813FA7"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20%</w:t>
            </w:r>
            <w:r w:rsidRPr="00813FA7">
              <w:rPr>
                <w:rFonts w:ascii="標楷體" w:eastAsia="標楷體" w:hAnsi="標楷體"/>
                <w:sz w:val="28"/>
                <w:szCs w:val="28"/>
              </w:rPr>
              <w:t>為原則</w:t>
            </w:r>
            <w:r w:rsidRPr="00813FA7">
              <w:rPr>
                <w:rFonts w:ascii="標楷體" w:eastAsia="標楷體" w:hAnsi="標楷體"/>
                <w:spacing w:val="-2"/>
                <w:sz w:val="28"/>
                <w:szCs w:val="28"/>
              </w:rPr>
              <w:t>，檢</w:t>
            </w:r>
            <w:r w:rsidRPr="00813FA7">
              <w:rPr>
                <w:rFonts w:ascii="標楷體" w:eastAsia="標楷體" w:hAnsi="標楷體"/>
                <w:spacing w:val="-8"/>
                <w:sz w:val="28"/>
                <w:szCs w:val="28"/>
              </w:rPr>
              <w:t>附3張估價單</w:t>
            </w:r>
            <w:r w:rsidRPr="00813FA7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，經中央審查核可</w:t>
            </w:r>
            <w:r w:rsidRPr="00813FA7">
              <w:rPr>
                <w:rFonts w:ascii="標楷體" w:eastAsia="標楷體" w:hAnsi="標楷體"/>
                <w:w w:val="95"/>
                <w:sz w:val="28"/>
                <w:szCs w:val="28"/>
              </w:rPr>
              <w:t>。</w:t>
            </w:r>
          </w:p>
        </w:tc>
      </w:tr>
    </w:tbl>
    <w:p w:rsidR="008B499C" w:rsidRPr="00D3576F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P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P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Default="008B499C" w:rsidP="008B499C">
      <w:pPr>
        <w:autoSpaceDE w:val="0"/>
        <w:autoSpaceDN w:val="0"/>
        <w:spacing w:line="303" w:lineRule="auto"/>
        <w:ind w:right="1752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8B499C" w:rsidRPr="009828C7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9828C7" w:rsidRDefault="009828C7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P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P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8B499C" w:rsidRDefault="008B499C" w:rsidP="00813FA7">
      <w:pPr>
        <w:autoSpaceDE w:val="0"/>
        <w:autoSpaceDN w:val="0"/>
        <w:spacing w:line="303" w:lineRule="auto"/>
        <w:ind w:left="1474" w:right="1752"/>
        <w:rPr>
          <w:rFonts w:ascii="標楷體" w:eastAsia="標楷體" w:hAnsi="標楷體" w:cs="新細明體"/>
          <w:spacing w:val="4"/>
          <w:sz w:val="28"/>
          <w:szCs w:val="28"/>
          <w:lang w:eastAsia="zh-TW"/>
        </w:rPr>
      </w:pPr>
    </w:p>
    <w:p w:rsidR="00AB3852" w:rsidRDefault="00D94601" w:rsidP="006003D5">
      <w:pPr>
        <w:autoSpaceDE w:val="0"/>
        <w:autoSpaceDN w:val="0"/>
        <w:spacing w:before="1"/>
        <w:ind w:left="993"/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</w:pPr>
      <w:r w:rsidRPr="00D94601">
        <w:rPr>
          <w:rFonts w:ascii="標楷體" w:eastAsia="標楷體" w:hAnsi="標楷體" w:cs="新細明體"/>
          <w:color w:val="000000"/>
          <w:spacing w:val="1"/>
          <w:sz w:val="28"/>
          <w:szCs w:val="28"/>
          <w:lang w:eastAsia="zh-TW"/>
        </w:rPr>
        <w:t>十</w:t>
      </w:r>
      <w:r w:rsidR="006F159B">
        <w:rPr>
          <w:rFonts w:ascii="標楷體" w:eastAsia="標楷體" w:hAnsi="標楷體" w:cs="新細明體" w:hint="eastAsia"/>
          <w:color w:val="000000"/>
          <w:spacing w:val="1"/>
          <w:sz w:val="28"/>
          <w:szCs w:val="28"/>
          <w:lang w:eastAsia="zh-TW"/>
        </w:rPr>
        <w:t>一</w:t>
      </w:r>
      <w:r w:rsidRPr="00D94601">
        <w:rPr>
          <w:rFonts w:ascii="標楷體" w:eastAsia="標楷體" w:hAnsi="標楷體" w:cs="新細明體"/>
          <w:color w:val="000000"/>
          <w:sz w:val="28"/>
          <w:szCs w:val="28"/>
          <w:lang w:eastAsia="zh-TW"/>
        </w:rPr>
        <w:t>、執行方式：</w:t>
      </w:r>
    </w:p>
    <w:p w:rsidR="00AB3852" w:rsidRDefault="006003D5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 xml:space="preserve">    </w:t>
      </w:r>
      <w:r w:rsidR="00D94601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(</w:t>
      </w:r>
      <w:proofErr w:type="gramStart"/>
      <w:r w:rsidR="00D94601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一</w:t>
      </w:r>
      <w:proofErr w:type="gramEnd"/>
      <w:r w:rsidR="00D94601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)受理審查程序：</w:t>
      </w:r>
      <w:r w:rsidR="007240E6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本計畫為加碼</w:t>
      </w:r>
      <w:bookmarkStart w:id="0" w:name="_GoBack"/>
      <w:r w:rsidR="007240E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補助農民</w:t>
      </w:r>
      <w:r w:rsidR="00727F12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團體</w:t>
      </w:r>
      <w:r w:rsidR="00AF2E16" w:rsidRPr="000A5B5E">
        <w:rPr>
          <w:rFonts w:ascii="標楷體" w:eastAsia="標楷體" w:hAnsi="標楷體" w:cs="新細明體" w:hint="eastAsia"/>
          <w:spacing w:val="4"/>
          <w:sz w:val="28"/>
          <w:szCs w:val="28"/>
          <w:lang w:eastAsia="zh-TW"/>
        </w:rPr>
        <w:t>、農業產銷班</w:t>
      </w:r>
      <w:r w:rsidR="007240E6" w:rsidRPr="000A5B5E">
        <w:rPr>
          <w:rFonts w:ascii="標楷體" w:eastAsia="標楷體" w:hAnsi="標楷體" w:cs="新細明體" w:hint="eastAsia"/>
          <w:spacing w:val="-5"/>
          <w:sz w:val="28"/>
          <w:szCs w:val="28"/>
          <w:lang w:eastAsia="zh-TW"/>
        </w:rPr>
        <w:t>設置</w:t>
      </w:r>
      <w:bookmarkEnd w:id="0"/>
      <w:r w:rsidR="007240E6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強化結構型設施</w:t>
      </w:r>
      <w:r w:rsidR="000328DE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、設</w:t>
      </w:r>
      <w:r w:rsidR="00291204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備</w:t>
      </w:r>
      <w:r w:rsidR="007240E6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，申請戶應於完成</w:t>
      </w:r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行政院農業委員會</w:t>
      </w:r>
      <w:proofErr w:type="gramStart"/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農糧署</w:t>
      </w:r>
      <w:r w:rsidR="007240E6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審查</w:t>
      </w:r>
      <w:proofErr w:type="gramEnd"/>
      <w:r w:rsidR="007240E6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通過後才能向本所提出，並檢附核定</w:t>
      </w:r>
      <w:r w:rsidR="00EE2A2C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後</w:t>
      </w:r>
      <w:r w:rsidR="007240E6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之計畫說明書及相關文件。</w:t>
      </w:r>
    </w:p>
    <w:p w:rsidR="00214F92" w:rsidRDefault="00214F92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214F92" w:rsidRDefault="00214F92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214F92" w:rsidRDefault="00214F92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214F92" w:rsidRPr="006003D5" w:rsidRDefault="00214F92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</w:p>
    <w:p w:rsidR="00AB3852" w:rsidRPr="006003D5" w:rsidRDefault="006003D5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 xml:space="preserve">    </w:t>
      </w:r>
      <w:r w:rsidR="00D94601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(</w:t>
      </w:r>
      <w:r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二)計畫</w:t>
      </w:r>
      <w:r w:rsidR="00D94601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成果查核：</w:t>
      </w:r>
      <w:r w:rsidR="00727F12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以</w:t>
      </w:r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行政院農業委員會</w:t>
      </w:r>
      <w:proofErr w:type="gramStart"/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農糧署</w:t>
      </w:r>
      <w:r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查核</w:t>
      </w:r>
      <w:proofErr w:type="gramEnd"/>
      <w:r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結果為依據，並於經費請撥時</w:t>
      </w:r>
      <w:r w:rsidR="00727F12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</w:t>
      </w:r>
      <w:r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檢附</w:t>
      </w:r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中央</w:t>
      </w:r>
      <w:r w:rsidR="008D4AC6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撥付之公文</w:t>
      </w:r>
      <w:r w:rsidR="00727F12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等相關文件向本所請撥補助款</w:t>
      </w:r>
      <w:r w:rsidR="00D94601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。</w:t>
      </w:r>
    </w:p>
    <w:p w:rsidR="00AB3852" w:rsidRPr="006003D5" w:rsidRDefault="00604F8E" w:rsidP="006003D5">
      <w:pPr>
        <w:autoSpaceDE w:val="0"/>
        <w:autoSpaceDN w:val="0"/>
        <w:spacing w:line="303" w:lineRule="auto"/>
        <w:ind w:left="1560" w:right="1270" w:hanging="566"/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</w:pPr>
      <w:r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十</w:t>
      </w:r>
      <w:r w:rsidR="006F159B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二</w:t>
      </w:r>
      <w:r w:rsidR="00167D13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、經費撥付：</w:t>
      </w:r>
      <w:r w:rsidR="00940A4F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檢具</w:t>
      </w:r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行政院農業委員會</w:t>
      </w:r>
      <w:proofErr w:type="gramStart"/>
      <w:r w:rsidR="007B1441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農糧署</w:t>
      </w:r>
      <w:r w:rsidR="00940A4F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撥付</w:t>
      </w:r>
      <w:proofErr w:type="gramEnd"/>
      <w:r w:rsidR="00940A4F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之公文(單據)、請款領據向本所</w:t>
      </w:r>
      <w:r w:rsidR="00167D13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請撥</w:t>
      </w:r>
      <w:r w:rsidR="00291204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金門</w:t>
      </w:r>
      <w:r w:rsidR="00167D13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縣農業發展基金</w:t>
      </w:r>
      <w:r w:rsidR="00167D13" w:rsidRPr="006003D5">
        <w:rPr>
          <w:rFonts w:ascii="標楷體" w:eastAsia="標楷體" w:hAnsi="標楷體" w:cs="新細明體"/>
          <w:color w:val="000000"/>
          <w:spacing w:val="-5"/>
          <w:sz w:val="28"/>
          <w:szCs w:val="28"/>
          <w:lang w:eastAsia="zh-TW"/>
        </w:rPr>
        <w:t>補助款</w:t>
      </w:r>
      <w:r w:rsidR="00940A4F" w:rsidRPr="006003D5">
        <w:rPr>
          <w:rFonts w:ascii="標楷體" w:eastAsia="標楷體" w:hAnsi="標楷體" w:cs="新細明體" w:hint="eastAsia"/>
          <w:color w:val="000000"/>
          <w:spacing w:val="-5"/>
          <w:sz w:val="28"/>
          <w:szCs w:val="28"/>
          <w:lang w:eastAsia="zh-TW"/>
        </w:rPr>
        <w:t>，本所依中央撥付之金額，按比例撥付補助款。</w:t>
      </w:r>
    </w:p>
    <w:p w:rsidR="00AB3852" w:rsidRPr="00940A4F" w:rsidRDefault="00AB3852">
      <w:pPr>
        <w:spacing w:line="94" w:lineRule="exact"/>
        <w:rPr>
          <w:rFonts w:ascii="標楷體" w:eastAsia="標楷體" w:hAnsi="標楷體" w:cs="新細明體"/>
          <w:color w:val="000000"/>
          <w:spacing w:val="-3"/>
          <w:sz w:val="28"/>
          <w:szCs w:val="28"/>
          <w:lang w:eastAsia="zh-TW"/>
        </w:rPr>
      </w:pPr>
    </w:p>
    <w:p w:rsidR="00AB3852" w:rsidRPr="00D94601" w:rsidRDefault="00AB3852" w:rsidP="002523FB">
      <w:pPr>
        <w:ind w:left="5763"/>
        <w:rPr>
          <w:rFonts w:ascii="標楷體" w:eastAsia="標楷體" w:hAnsi="標楷體"/>
          <w:lang w:eastAsia="zh-TW"/>
        </w:rPr>
        <w:sectPr w:rsidR="00AB3852" w:rsidRPr="00D9460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3852" w:rsidRPr="00D94601" w:rsidRDefault="00AB3852">
      <w:pPr>
        <w:rPr>
          <w:rFonts w:ascii="標楷體" w:eastAsia="標楷體" w:hAnsi="標楷體"/>
          <w:lang w:eastAsia="zh-TW"/>
        </w:rPr>
        <w:sectPr w:rsidR="00AB3852" w:rsidRPr="00D9460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3852" w:rsidRPr="00D94601" w:rsidRDefault="00AB3852">
      <w:pPr>
        <w:rPr>
          <w:rFonts w:ascii="標楷體" w:eastAsia="標楷體" w:hAnsi="標楷體"/>
          <w:lang w:eastAsia="zh-TW"/>
        </w:rPr>
        <w:sectPr w:rsidR="00AB3852" w:rsidRPr="00D9460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AB3852" w:rsidRPr="00D94601" w:rsidRDefault="00AB3852" w:rsidP="0014291E">
      <w:pPr>
        <w:rPr>
          <w:rFonts w:ascii="標楷體" w:eastAsia="標楷體" w:hAnsi="標楷體"/>
          <w:lang w:eastAsia="zh-TW"/>
        </w:rPr>
      </w:pPr>
    </w:p>
    <w:sectPr w:rsidR="00AB3852" w:rsidRPr="00D9460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46" w:rsidRDefault="00A70246" w:rsidP="00A63BDF">
      <w:r>
        <w:separator/>
      </w:r>
    </w:p>
  </w:endnote>
  <w:endnote w:type="continuationSeparator" w:id="0">
    <w:p w:rsidR="00A70246" w:rsidRDefault="00A70246" w:rsidP="00A6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46" w:rsidRDefault="00A70246" w:rsidP="00A63BDF">
      <w:r>
        <w:separator/>
      </w:r>
    </w:p>
  </w:footnote>
  <w:footnote w:type="continuationSeparator" w:id="0">
    <w:p w:rsidR="00A70246" w:rsidRDefault="00A70246" w:rsidP="00A6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D1A36"/>
    <w:multiLevelType w:val="hybridMultilevel"/>
    <w:tmpl w:val="855CBD7A"/>
    <w:lvl w:ilvl="0" w:tplc="F2ECE206">
      <w:start w:val="1"/>
      <w:numFmt w:val="taiwaneseCountingThousand"/>
      <w:lvlText w:val="%1、"/>
      <w:lvlJc w:val="left"/>
      <w:pPr>
        <w:ind w:left="1578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57DA03C8"/>
    <w:multiLevelType w:val="hybridMultilevel"/>
    <w:tmpl w:val="98A67E96"/>
    <w:lvl w:ilvl="0" w:tplc="F524F1E6">
      <w:start w:val="1"/>
      <w:numFmt w:val="taiwaneseCountingThousand"/>
      <w:lvlText w:val="(%1)"/>
      <w:lvlJc w:val="left"/>
      <w:pPr>
        <w:ind w:left="21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4" w:hanging="480"/>
      </w:p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2"/>
    <w:rsid w:val="000328DE"/>
    <w:rsid w:val="0008032E"/>
    <w:rsid w:val="00091376"/>
    <w:rsid w:val="000A5B5E"/>
    <w:rsid w:val="000C56F4"/>
    <w:rsid w:val="000D7C27"/>
    <w:rsid w:val="00106D48"/>
    <w:rsid w:val="001217E7"/>
    <w:rsid w:val="001348E9"/>
    <w:rsid w:val="0014291E"/>
    <w:rsid w:val="00143910"/>
    <w:rsid w:val="0015772A"/>
    <w:rsid w:val="001623A9"/>
    <w:rsid w:val="00167D13"/>
    <w:rsid w:val="001D0559"/>
    <w:rsid w:val="001E4DFD"/>
    <w:rsid w:val="00214F92"/>
    <w:rsid w:val="0021564A"/>
    <w:rsid w:val="00225F0B"/>
    <w:rsid w:val="002523FB"/>
    <w:rsid w:val="00267B42"/>
    <w:rsid w:val="00283892"/>
    <w:rsid w:val="00291204"/>
    <w:rsid w:val="00294E53"/>
    <w:rsid w:val="002A0FBD"/>
    <w:rsid w:val="002C0811"/>
    <w:rsid w:val="00305821"/>
    <w:rsid w:val="00363059"/>
    <w:rsid w:val="00400F4F"/>
    <w:rsid w:val="004905C5"/>
    <w:rsid w:val="004F6A42"/>
    <w:rsid w:val="00501BF2"/>
    <w:rsid w:val="005375F9"/>
    <w:rsid w:val="00587640"/>
    <w:rsid w:val="005B0D1B"/>
    <w:rsid w:val="005E7919"/>
    <w:rsid w:val="005F1360"/>
    <w:rsid w:val="006003D5"/>
    <w:rsid w:val="00604F8E"/>
    <w:rsid w:val="0060712F"/>
    <w:rsid w:val="0062125D"/>
    <w:rsid w:val="00633FD8"/>
    <w:rsid w:val="00663C50"/>
    <w:rsid w:val="006772CE"/>
    <w:rsid w:val="006D0655"/>
    <w:rsid w:val="006F159B"/>
    <w:rsid w:val="007240E6"/>
    <w:rsid w:val="00727F12"/>
    <w:rsid w:val="00731333"/>
    <w:rsid w:val="007363CC"/>
    <w:rsid w:val="007B1441"/>
    <w:rsid w:val="00813FA7"/>
    <w:rsid w:val="00831D31"/>
    <w:rsid w:val="008B499C"/>
    <w:rsid w:val="008D1468"/>
    <w:rsid w:val="008D4AC6"/>
    <w:rsid w:val="00912F6B"/>
    <w:rsid w:val="00940A4F"/>
    <w:rsid w:val="009657FD"/>
    <w:rsid w:val="009828C7"/>
    <w:rsid w:val="00987F5E"/>
    <w:rsid w:val="00996C65"/>
    <w:rsid w:val="009A3185"/>
    <w:rsid w:val="009C33F2"/>
    <w:rsid w:val="00A10480"/>
    <w:rsid w:val="00A63BDF"/>
    <w:rsid w:val="00A70246"/>
    <w:rsid w:val="00A806D1"/>
    <w:rsid w:val="00A93014"/>
    <w:rsid w:val="00A944B9"/>
    <w:rsid w:val="00AA37FC"/>
    <w:rsid w:val="00AB3852"/>
    <w:rsid w:val="00AC234F"/>
    <w:rsid w:val="00AD5D3B"/>
    <w:rsid w:val="00AD6A0E"/>
    <w:rsid w:val="00AF2326"/>
    <w:rsid w:val="00AF2E16"/>
    <w:rsid w:val="00B336DE"/>
    <w:rsid w:val="00B558DA"/>
    <w:rsid w:val="00B67041"/>
    <w:rsid w:val="00BC2AA3"/>
    <w:rsid w:val="00C126D2"/>
    <w:rsid w:val="00C65F9A"/>
    <w:rsid w:val="00C83146"/>
    <w:rsid w:val="00CB7510"/>
    <w:rsid w:val="00CC0A4A"/>
    <w:rsid w:val="00CE3815"/>
    <w:rsid w:val="00D050BB"/>
    <w:rsid w:val="00D157BA"/>
    <w:rsid w:val="00D341BF"/>
    <w:rsid w:val="00D3576F"/>
    <w:rsid w:val="00D72F49"/>
    <w:rsid w:val="00D94601"/>
    <w:rsid w:val="00DC5E41"/>
    <w:rsid w:val="00DD30D3"/>
    <w:rsid w:val="00E009BB"/>
    <w:rsid w:val="00E66867"/>
    <w:rsid w:val="00E979DD"/>
    <w:rsid w:val="00EC5BE5"/>
    <w:rsid w:val="00EE2A2C"/>
    <w:rsid w:val="00EE5F89"/>
    <w:rsid w:val="00EE6282"/>
    <w:rsid w:val="00F24C0E"/>
    <w:rsid w:val="00F31C7D"/>
    <w:rsid w:val="00F47EDF"/>
    <w:rsid w:val="00F7767D"/>
    <w:rsid w:val="00F808E8"/>
    <w:rsid w:val="00FA22FC"/>
    <w:rsid w:val="00F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3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B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BDF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AC234F"/>
    <w:pPr>
      <w:widowControl w:val="0"/>
      <w:autoSpaceDE w:val="0"/>
      <w:autoSpaceDN w:val="0"/>
      <w:spacing w:before="2"/>
      <w:ind w:left="1151"/>
    </w:pPr>
    <w:rPr>
      <w:rFonts w:ascii="新細明體" w:eastAsia="新細明體" w:hAnsi="新細明體" w:cs="新細明體"/>
      <w:sz w:val="28"/>
      <w:szCs w:val="28"/>
      <w:lang w:eastAsia="zh-TW"/>
    </w:rPr>
  </w:style>
  <w:style w:type="character" w:customStyle="1" w:styleId="a9">
    <w:name w:val="本文 字元"/>
    <w:basedOn w:val="a0"/>
    <w:link w:val="a8"/>
    <w:uiPriority w:val="1"/>
    <w:rsid w:val="00AC234F"/>
    <w:rPr>
      <w:rFonts w:ascii="新細明體" w:eastAsia="新細明體" w:hAnsi="新細明體" w:cs="新細明體"/>
      <w:sz w:val="28"/>
      <w:szCs w:val="28"/>
      <w:lang w:eastAsia="zh-TW"/>
    </w:rPr>
  </w:style>
  <w:style w:type="paragraph" w:customStyle="1" w:styleId="TableParagraph">
    <w:name w:val="Table Paragraph"/>
    <w:basedOn w:val="a"/>
    <w:uiPriority w:val="1"/>
    <w:qFormat/>
    <w:rsid w:val="00AC234F"/>
    <w:pPr>
      <w:widowControl w:val="0"/>
      <w:autoSpaceDE w:val="0"/>
      <w:autoSpaceDN w:val="0"/>
      <w:ind w:left="107"/>
    </w:pPr>
    <w:rPr>
      <w:rFonts w:ascii="新細明體" w:eastAsia="新細明體" w:hAnsi="新細明體" w:cs="新細明體"/>
      <w:sz w:val="22"/>
      <w:szCs w:val="22"/>
      <w:lang w:eastAsia="zh-TW"/>
    </w:rPr>
  </w:style>
  <w:style w:type="table" w:styleId="aa">
    <w:name w:val="Table Grid"/>
    <w:basedOn w:val="a1"/>
    <w:uiPriority w:val="59"/>
    <w:rsid w:val="00AC234F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08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1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63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B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BDF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AC234F"/>
    <w:pPr>
      <w:widowControl w:val="0"/>
      <w:autoSpaceDE w:val="0"/>
      <w:autoSpaceDN w:val="0"/>
      <w:spacing w:before="2"/>
      <w:ind w:left="1151"/>
    </w:pPr>
    <w:rPr>
      <w:rFonts w:ascii="新細明體" w:eastAsia="新細明體" w:hAnsi="新細明體" w:cs="新細明體"/>
      <w:sz w:val="28"/>
      <w:szCs w:val="28"/>
      <w:lang w:eastAsia="zh-TW"/>
    </w:rPr>
  </w:style>
  <w:style w:type="character" w:customStyle="1" w:styleId="a9">
    <w:name w:val="本文 字元"/>
    <w:basedOn w:val="a0"/>
    <w:link w:val="a8"/>
    <w:uiPriority w:val="1"/>
    <w:rsid w:val="00AC234F"/>
    <w:rPr>
      <w:rFonts w:ascii="新細明體" w:eastAsia="新細明體" w:hAnsi="新細明體" w:cs="新細明體"/>
      <w:sz w:val="28"/>
      <w:szCs w:val="28"/>
      <w:lang w:eastAsia="zh-TW"/>
    </w:rPr>
  </w:style>
  <w:style w:type="paragraph" w:customStyle="1" w:styleId="TableParagraph">
    <w:name w:val="Table Paragraph"/>
    <w:basedOn w:val="a"/>
    <w:uiPriority w:val="1"/>
    <w:qFormat/>
    <w:rsid w:val="00AC234F"/>
    <w:pPr>
      <w:widowControl w:val="0"/>
      <w:autoSpaceDE w:val="0"/>
      <w:autoSpaceDN w:val="0"/>
      <w:ind w:left="107"/>
    </w:pPr>
    <w:rPr>
      <w:rFonts w:ascii="新細明體" w:eastAsia="新細明體" w:hAnsi="新細明體" w:cs="新細明體"/>
      <w:sz w:val="22"/>
      <w:szCs w:val="22"/>
      <w:lang w:eastAsia="zh-TW"/>
    </w:rPr>
  </w:style>
  <w:style w:type="table" w:styleId="aa">
    <w:name w:val="Table Grid"/>
    <w:basedOn w:val="a1"/>
    <w:uiPriority w:val="59"/>
    <w:rsid w:val="00AC234F"/>
    <w:rPr>
      <w:kern w:val="2"/>
      <w:szCs w:val="22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0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C0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C6CE0-F987-4931-A877-17C11952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2021-05-07T03:34:00Z</cp:lastPrinted>
  <dcterms:created xsi:type="dcterms:W3CDTF">2021-05-06T08:10:00Z</dcterms:created>
  <dcterms:modified xsi:type="dcterms:W3CDTF">2021-05-27T05:40:00Z</dcterms:modified>
</cp:coreProperties>
</file>