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6A" w:rsidRDefault="00D8182F">
      <w:pPr>
        <w:pStyle w:val="Textbody"/>
        <w:overflowPunct w:val="0"/>
        <w:jc w:val="center"/>
      </w:pPr>
      <w:bookmarkStart w:id="0" w:name="_GoBack"/>
      <w:bookmarkEnd w:id="0"/>
      <w:r>
        <w:rPr>
          <w:rFonts w:ascii="標楷體" w:eastAsia="標楷體" w:hAnsi="標楷體"/>
          <w:sz w:val="40"/>
          <w:szCs w:val="32"/>
        </w:rPr>
        <w:t>納稅者權利保護法施行細則</w:t>
      </w:r>
    </w:p>
    <w:p w:rsidR="006C2F6A" w:rsidRDefault="006C2F6A">
      <w:pPr>
        <w:pStyle w:val="Standard"/>
        <w:overflowPunct w:val="0"/>
      </w:pPr>
    </w:p>
    <w:p w:rsidR="006C2F6A" w:rsidRDefault="00D8182F">
      <w:pPr>
        <w:pStyle w:val="Standard"/>
        <w:overflowPunct w:val="0"/>
        <w:spacing w:line="360" w:lineRule="auto"/>
        <w:ind w:left="1304" w:hanging="1304"/>
        <w:jc w:val="both"/>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lang w:eastAsia="zh-TW"/>
        </w:rPr>
        <w:t>一</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rPr>
        <w:t>本細則依納稅者權利保護法</w:t>
      </w:r>
      <w:r>
        <w:rPr>
          <w:rFonts w:ascii="標楷體" w:eastAsia="標楷體" w:hAnsi="標楷體"/>
          <w:sz w:val="32"/>
          <w:szCs w:val="32"/>
        </w:rPr>
        <w:t>(</w:t>
      </w:r>
      <w:r>
        <w:rPr>
          <w:rFonts w:ascii="標楷體" w:eastAsia="標楷體" w:hAnsi="標楷體"/>
          <w:sz w:val="32"/>
          <w:szCs w:val="32"/>
        </w:rPr>
        <w:t>以下簡稱本法</w:t>
      </w:r>
      <w:r>
        <w:rPr>
          <w:rFonts w:ascii="標楷體" w:eastAsia="標楷體" w:hAnsi="標楷體"/>
          <w:sz w:val="32"/>
          <w:szCs w:val="32"/>
        </w:rPr>
        <w:t>)</w:t>
      </w:r>
      <w:r>
        <w:rPr>
          <w:rFonts w:ascii="標楷體" w:eastAsia="標楷體" w:hAnsi="標楷體"/>
          <w:sz w:val="32"/>
          <w:szCs w:val="32"/>
        </w:rPr>
        <w:t>第二十二條規定訂定之。</w:t>
      </w:r>
    </w:p>
    <w:p w:rsidR="006C2F6A" w:rsidRDefault="00D8182F">
      <w:pPr>
        <w:pStyle w:val="Standard"/>
        <w:overflowPunct w:val="0"/>
        <w:spacing w:line="360" w:lineRule="auto"/>
        <w:ind w:left="1304" w:hanging="1304"/>
        <w:jc w:val="both"/>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lang w:eastAsia="zh-TW"/>
        </w:rPr>
        <w:t>二</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eastAsia="標楷體"/>
          <w:sz w:val="32"/>
          <w:szCs w:val="32"/>
        </w:rPr>
        <w:t>本法所稱稅捐稽徵機關，指財政部各地區國稅局、地方稅稽徵機關及關務機關。</w:t>
      </w:r>
    </w:p>
    <w:p w:rsidR="006C2F6A" w:rsidRDefault="00D8182F">
      <w:pPr>
        <w:pStyle w:val="Standard"/>
        <w:overflowPunct w:val="0"/>
        <w:spacing w:line="360" w:lineRule="auto"/>
        <w:ind w:left="1304" w:firstLine="624"/>
        <w:jc w:val="both"/>
        <w:rPr>
          <w:rFonts w:eastAsia="標楷體"/>
          <w:sz w:val="32"/>
          <w:szCs w:val="32"/>
        </w:rPr>
      </w:pPr>
      <w:r>
        <w:rPr>
          <w:rFonts w:eastAsia="標楷體"/>
          <w:sz w:val="32"/>
          <w:szCs w:val="32"/>
        </w:rPr>
        <w:t>本法所定納稅者，包含各稅法規定之納稅義務人、扣繳義務人、代徵人、代繳人及其他依法負繳納稅捐義務之人。</w:t>
      </w:r>
    </w:p>
    <w:p w:rsidR="006C2F6A" w:rsidRDefault="00D8182F">
      <w:pPr>
        <w:pStyle w:val="Standard"/>
        <w:overflowPunct w:val="0"/>
        <w:spacing w:line="360" w:lineRule="auto"/>
        <w:ind w:left="1304" w:hanging="1304"/>
        <w:jc w:val="both"/>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lang w:eastAsia="zh-TW"/>
        </w:rPr>
        <w:t>三</w:t>
      </w:r>
      <w:r>
        <w:rPr>
          <w:rFonts w:ascii="標楷體" w:eastAsia="標楷體" w:hAnsi="標楷體"/>
          <w:sz w:val="32"/>
          <w:szCs w:val="32"/>
        </w:rPr>
        <w:t xml:space="preserve"> </w:t>
      </w:r>
      <w:r>
        <w:rPr>
          <w:rFonts w:ascii="標楷體" w:eastAsia="標楷體" w:hAnsi="標楷體"/>
          <w:sz w:val="32"/>
          <w:szCs w:val="32"/>
        </w:rPr>
        <w:t>條</w:t>
      </w:r>
      <w:r>
        <w:rPr>
          <w:rFonts w:ascii="標楷體" w:eastAsia="標楷體" w:hAnsi="標楷體"/>
          <w:sz w:val="32"/>
          <w:szCs w:val="32"/>
        </w:rPr>
        <w:t xml:space="preserve">    </w:t>
      </w:r>
      <w:r>
        <w:rPr>
          <w:rFonts w:ascii="標楷體" w:eastAsia="標楷體" w:hAnsi="標楷體"/>
          <w:sz w:val="32"/>
          <w:szCs w:val="32"/>
          <w:lang w:eastAsia="zh-TW"/>
        </w:rPr>
        <w:t>本法第四條第一項所稱維持基本生活所需之費用，不得加以課稅，指納稅者按中央主管機關公告當年度每人基本生活所需之費用乘以納稅者本人、配偶及受扶養親屬人數計算之基本生活所需費用總額，超過其依所得稅法規定得自綜合所得總額減除之本人、配偶及受扶養親屬免稅額、標準扣除額或列舉扣除額二者擇一之扣除額及薪資所得特別扣除額合計數之金額部分，得自納稅者當年度綜合所得總額中減除。</w:t>
      </w:r>
    </w:p>
    <w:p w:rsidR="006C2F6A" w:rsidRDefault="00D8182F">
      <w:pPr>
        <w:pStyle w:val="Standard"/>
        <w:overflowPunct w:val="0"/>
        <w:spacing w:line="360" w:lineRule="auto"/>
        <w:ind w:left="1304" w:firstLine="624"/>
        <w:jc w:val="both"/>
        <w:rPr>
          <w:rFonts w:ascii="標楷體" w:eastAsia="標楷體" w:hAnsi="標楷體"/>
          <w:sz w:val="32"/>
          <w:szCs w:val="32"/>
          <w:lang w:eastAsia="zh-TW"/>
        </w:rPr>
      </w:pPr>
      <w:r>
        <w:rPr>
          <w:rFonts w:ascii="標楷體" w:eastAsia="標楷體" w:hAnsi="標楷體"/>
          <w:sz w:val="32"/>
          <w:szCs w:val="32"/>
          <w:lang w:eastAsia="zh-TW"/>
        </w:rPr>
        <w:t>財政部應於每年十二月底前，依本法第四條第二項規定公告當年度每人基本生活所需之費用，其金額以千元為單位，未達千元者按百元數四捨五入。</w:t>
      </w:r>
    </w:p>
    <w:p w:rsidR="006C2F6A" w:rsidRDefault="00D8182F">
      <w:pPr>
        <w:pStyle w:val="Standard"/>
        <w:overflowPunct w:val="0"/>
        <w:spacing w:line="360" w:lineRule="auto"/>
        <w:ind w:left="1304" w:hanging="1304"/>
        <w:jc w:val="both"/>
      </w:pPr>
      <w:r>
        <w:rPr>
          <w:rFonts w:ascii="標楷體" w:eastAsia="標楷體" w:hAnsi="標楷體"/>
          <w:sz w:val="32"/>
          <w:szCs w:val="32"/>
        </w:rPr>
        <w:t>第</w:t>
      </w:r>
      <w:r>
        <w:rPr>
          <w:rFonts w:ascii="標楷體" w:eastAsia="標楷體" w:hAnsi="標楷體"/>
          <w:sz w:val="32"/>
          <w:szCs w:val="32"/>
        </w:rPr>
        <w:t xml:space="preserve"> </w:t>
      </w:r>
      <w:r>
        <w:rPr>
          <w:rFonts w:ascii="標楷體" w:eastAsia="標楷體" w:hAnsi="標楷體"/>
          <w:sz w:val="32"/>
          <w:szCs w:val="32"/>
          <w:lang w:eastAsia="zh-TW"/>
        </w:rPr>
        <w:t>四</w:t>
      </w:r>
      <w:r>
        <w:rPr>
          <w:rFonts w:ascii="標楷體" w:eastAsia="標楷體" w:hAnsi="標楷體"/>
          <w:sz w:val="32"/>
          <w:szCs w:val="32"/>
        </w:rPr>
        <w:t xml:space="preserve"> </w:t>
      </w:r>
      <w:r>
        <w:rPr>
          <w:rFonts w:ascii="標楷體" w:eastAsia="標楷體" w:hAnsi="標楷體"/>
          <w:sz w:val="32"/>
          <w:szCs w:val="32"/>
        </w:rPr>
        <w:t xml:space="preserve">條　</w:t>
      </w:r>
      <w:r>
        <w:rPr>
          <w:rFonts w:ascii="標楷體" w:eastAsia="標楷體" w:hAnsi="標楷體"/>
          <w:sz w:val="32"/>
          <w:szCs w:val="32"/>
        </w:rPr>
        <w:t xml:space="preserve">  </w:t>
      </w:r>
      <w:r>
        <w:rPr>
          <w:rFonts w:ascii="標楷體" w:eastAsia="標楷體" w:hAnsi="標楷體"/>
          <w:sz w:val="32"/>
          <w:szCs w:val="32"/>
        </w:rPr>
        <w:t>業</w:t>
      </w:r>
      <w:r>
        <w:rPr>
          <w:rFonts w:ascii="標楷體" w:eastAsia="標楷體" w:hAnsi="標楷體"/>
          <w:sz w:val="32"/>
          <w:szCs w:val="32"/>
        </w:rPr>
        <w:t>務主管機關研擬稅式支出法規，應於送立法院審議前舉行公聽會。</w:t>
      </w:r>
    </w:p>
    <w:p w:rsidR="006C2F6A" w:rsidRDefault="00D8182F">
      <w:pPr>
        <w:pStyle w:val="Standard"/>
        <w:tabs>
          <w:tab w:val="left" w:pos="190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前項公聽會會議紀錄及稅式支出評估報告應併同租稅優惠法律送交立法院審議。</w:t>
      </w:r>
    </w:p>
    <w:p w:rsidR="006C2F6A" w:rsidRDefault="00D8182F">
      <w:pPr>
        <w:pStyle w:val="Standard"/>
        <w:tabs>
          <w:tab w:val="left" w:pos="190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五</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本法第七條第七項加計利息之規定，指按應補繳稅款加計利息，不包括本法或其他稅法加徵之滯納金；所稱原應繳</w:t>
      </w:r>
      <w:r>
        <w:rPr>
          <w:rFonts w:ascii="標楷體" w:eastAsia="標楷體" w:hAnsi="標楷體"/>
          <w:sz w:val="32"/>
          <w:szCs w:val="32"/>
          <w:lang w:eastAsia="zh-TW"/>
        </w:rPr>
        <w:lastRenderedPageBreak/>
        <w:t>納期限屆滿之次日，依下列規定：</w:t>
      </w:r>
    </w:p>
    <w:p w:rsidR="006C2F6A" w:rsidRDefault="00D8182F">
      <w:pPr>
        <w:pStyle w:val="Standard"/>
        <w:tabs>
          <w:tab w:val="left" w:pos="2653"/>
          <w:tab w:val="left" w:pos="3208"/>
        </w:tabs>
        <w:overflowPunct w:val="0"/>
        <w:spacing w:line="360" w:lineRule="auto"/>
        <w:ind w:left="2608" w:hanging="680"/>
        <w:jc w:val="both"/>
        <w:rPr>
          <w:rFonts w:ascii="標楷體" w:eastAsia="標楷體" w:hAnsi="標楷體"/>
          <w:sz w:val="32"/>
          <w:szCs w:val="32"/>
          <w:lang w:eastAsia="zh-TW"/>
        </w:rPr>
      </w:pPr>
      <w:r>
        <w:rPr>
          <w:rFonts w:ascii="標楷體" w:eastAsia="標楷體" w:hAnsi="標楷體"/>
          <w:sz w:val="32"/>
          <w:szCs w:val="32"/>
          <w:lang w:eastAsia="zh-TW"/>
        </w:rPr>
        <w:t>一、依法應由納稅者申報並自行繳納之稅捐，為規定申報期間屆滿日之翌日。</w:t>
      </w:r>
    </w:p>
    <w:p w:rsidR="006C2F6A" w:rsidRDefault="00D8182F">
      <w:pPr>
        <w:pStyle w:val="Standard"/>
        <w:tabs>
          <w:tab w:val="left" w:pos="2653"/>
          <w:tab w:val="left" w:pos="3208"/>
        </w:tabs>
        <w:overflowPunct w:val="0"/>
        <w:spacing w:line="360" w:lineRule="auto"/>
        <w:ind w:left="2608" w:hanging="680"/>
        <w:jc w:val="both"/>
        <w:rPr>
          <w:rFonts w:ascii="標楷體" w:eastAsia="標楷體" w:hAnsi="標楷體"/>
          <w:sz w:val="32"/>
          <w:szCs w:val="32"/>
          <w:lang w:eastAsia="zh-TW"/>
        </w:rPr>
      </w:pPr>
      <w:r>
        <w:rPr>
          <w:rFonts w:ascii="標楷體" w:eastAsia="標楷體" w:hAnsi="標楷體"/>
          <w:sz w:val="32"/>
          <w:szCs w:val="32"/>
          <w:lang w:eastAsia="zh-TW"/>
        </w:rPr>
        <w:t>二、依法應由納稅者申報並由稅捐稽徵機關核定徵收或核定免稅之稅捐，為規定申報期間屆滿日之翌日。</w:t>
      </w:r>
    </w:p>
    <w:p w:rsidR="006C2F6A" w:rsidRDefault="00D8182F">
      <w:pPr>
        <w:pStyle w:val="Standard"/>
        <w:tabs>
          <w:tab w:val="left" w:pos="2653"/>
          <w:tab w:val="left" w:pos="3208"/>
        </w:tabs>
        <w:overflowPunct w:val="0"/>
        <w:spacing w:line="360" w:lineRule="auto"/>
        <w:ind w:left="2608" w:hanging="680"/>
        <w:jc w:val="both"/>
        <w:rPr>
          <w:rFonts w:ascii="標楷體" w:eastAsia="標楷體" w:hAnsi="標楷體"/>
          <w:sz w:val="32"/>
          <w:szCs w:val="32"/>
          <w:lang w:eastAsia="zh-TW"/>
        </w:rPr>
      </w:pPr>
      <w:r>
        <w:rPr>
          <w:rFonts w:ascii="標楷體" w:eastAsia="標楷體" w:hAnsi="標楷體"/>
          <w:sz w:val="32"/>
          <w:szCs w:val="32"/>
          <w:lang w:eastAsia="zh-TW"/>
        </w:rPr>
        <w:t>三、依法應由稅捐稽徵機關按稅籍底冊或查得資料核定徵收之稅捐，為該稅捐所屬徵期屆滿日之翌日。</w:t>
      </w:r>
    </w:p>
    <w:p w:rsidR="006C2F6A" w:rsidRDefault="00D8182F">
      <w:pPr>
        <w:pStyle w:val="Standard"/>
        <w:tabs>
          <w:tab w:val="left" w:pos="2653"/>
          <w:tab w:val="left" w:pos="3208"/>
        </w:tabs>
        <w:overflowPunct w:val="0"/>
        <w:spacing w:line="360" w:lineRule="auto"/>
        <w:ind w:left="2608" w:hanging="680"/>
        <w:jc w:val="both"/>
        <w:rPr>
          <w:rFonts w:ascii="標楷體" w:eastAsia="標楷體" w:hAnsi="標楷體"/>
          <w:sz w:val="32"/>
          <w:szCs w:val="32"/>
          <w:lang w:eastAsia="zh-TW"/>
        </w:rPr>
      </w:pPr>
      <w:r>
        <w:rPr>
          <w:rFonts w:ascii="標楷體" w:eastAsia="標楷體" w:hAnsi="標楷體"/>
          <w:sz w:val="32"/>
          <w:szCs w:val="32"/>
          <w:lang w:eastAsia="zh-TW"/>
        </w:rPr>
        <w:t>四、依法應由納稅者貼用之印花稅，為依法應貼用印花稅票日之翌日。</w:t>
      </w:r>
    </w:p>
    <w:p w:rsidR="006C2F6A" w:rsidRDefault="00D8182F">
      <w:pPr>
        <w:pStyle w:val="Standard"/>
        <w:tabs>
          <w:tab w:val="left" w:pos="2653"/>
          <w:tab w:val="left" w:pos="3208"/>
        </w:tabs>
        <w:overflowPunct w:val="0"/>
        <w:spacing w:line="360" w:lineRule="auto"/>
        <w:ind w:left="2608" w:hanging="680"/>
        <w:jc w:val="both"/>
        <w:rPr>
          <w:rFonts w:ascii="標楷體" w:eastAsia="標楷體" w:hAnsi="標楷體"/>
          <w:sz w:val="32"/>
          <w:szCs w:val="32"/>
          <w:lang w:eastAsia="zh-TW"/>
        </w:rPr>
      </w:pPr>
      <w:r>
        <w:rPr>
          <w:rFonts w:ascii="標楷體" w:eastAsia="標楷體" w:hAnsi="標楷體"/>
          <w:sz w:val="32"/>
          <w:szCs w:val="32"/>
          <w:lang w:eastAsia="zh-TW"/>
        </w:rPr>
        <w:t>五、依法課徵之進口稅，為海關核定徵收或免稅日之翌日。</w:t>
      </w:r>
    </w:p>
    <w:p w:rsidR="006C2F6A" w:rsidRDefault="00D8182F">
      <w:pPr>
        <w:pStyle w:val="Standard"/>
        <w:tabs>
          <w:tab w:val="left" w:pos="1349"/>
          <w:tab w:val="left" w:pos="1904"/>
          <w:tab w:val="left" w:pos="319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依本法第七條第八項但書規定裁處罰鍰者，免依同條第三項及第七項規定加徵滯納金及利息。</w:t>
      </w:r>
    </w:p>
    <w:p w:rsidR="006C2F6A" w:rsidRDefault="00D8182F">
      <w:pPr>
        <w:pStyle w:val="Standard"/>
        <w:tabs>
          <w:tab w:val="left" w:pos="1349"/>
          <w:tab w:val="left" w:pos="1904"/>
          <w:tab w:val="left" w:pos="319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依本法第七條第三項加徵之滯納金及利息，除本法或本細則另有規定者外，準用稅捐稽徵法、關稅法及其他有關法律之規定。</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六</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本法第十四條第三項所稱有二種以上之推計方法時，除稅法就推計方法或適用順序另有規定者外，應依</w:t>
      </w:r>
      <w:r>
        <w:rPr>
          <w:rFonts w:ascii="標楷體" w:eastAsia="標楷體" w:hAnsi="標楷體"/>
          <w:sz w:val="32"/>
          <w:szCs w:val="32"/>
          <w:lang w:eastAsia="zh-TW"/>
        </w:rPr>
        <w:t>最能切近實額之方法為之。</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七</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稅捐稽徵機關依稅法或其他有關法律規定為罰鍰處分無裁量權者，不適用本法第十六條第三項規定。</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八</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稅捐稽徵機關辦理本法第二十條所定納稅者權利保護事</w:t>
      </w:r>
      <w:r>
        <w:rPr>
          <w:rFonts w:ascii="標楷體" w:eastAsia="標楷體" w:hAnsi="標楷體"/>
          <w:sz w:val="32"/>
          <w:szCs w:val="32"/>
          <w:lang w:eastAsia="zh-TW"/>
        </w:rPr>
        <w:lastRenderedPageBreak/>
        <w:t>項，應審酌轄區特性、稅目及稽徵實務等情形，設置納稅者權利保護官一人或數人，指派具稅務、會計或法律專業之適當層級人員擔任之。</w:t>
      </w:r>
    </w:p>
    <w:p w:rsidR="006C2F6A" w:rsidRDefault="00D8182F">
      <w:pPr>
        <w:pStyle w:val="Standard"/>
        <w:tabs>
          <w:tab w:val="left" w:pos="1349"/>
          <w:tab w:val="left" w:pos="1904"/>
          <w:tab w:val="left" w:pos="3194"/>
        </w:tabs>
        <w:overflowPunct w:val="0"/>
        <w:spacing w:line="360" w:lineRule="auto"/>
        <w:ind w:left="1304" w:firstLine="624"/>
        <w:jc w:val="both"/>
        <w:rPr>
          <w:rFonts w:ascii="標楷體" w:eastAsia="標楷體" w:hAnsi="標楷體"/>
          <w:sz w:val="32"/>
          <w:szCs w:val="32"/>
          <w:lang w:eastAsia="zh-TW"/>
        </w:rPr>
      </w:pPr>
      <w:r>
        <w:rPr>
          <w:rFonts w:ascii="標楷體" w:eastAsia="標楷體" w:hAnsi="標楷體"/>
          <w:sz w:val="32"/>
          <w:szCs w:val="32"/>
          <w:lang w:eastAsia="zh-TW"/>
        </w:rPr>
        <w:t>納稅者權利保護官應每年向財政部提出工作成果報告。</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九</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稅捐稽徵機關於核課期間內，經另發現應課徵之稅捐，仍得依稅捐稽徵法第二十一條第二項或其他有關法律規定補徵或並予處罰。但其事實在行</w:t>
      </w:r>
      <w:r>
        <w:rPr>
          <w:rFonts w:ascii="標楷體" w:eastAsia="標楷體" w:hAnsi="標楷體"/>
          <w:sz w:val="32"/>
          <w:szCs w:val="32"/>
          <w:lang w:eastAsia="zh-TW"/>
        </w:rPr>
        <w:t>政救濟審理範圍者，不在此限。</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十</w:t>
      </w:r>
      <w:r>
        <w:rPr>
          <w:rFonts w:ascii="標楷體" w:eastAsia="標楷體" w:hAnsi="標楷體"/>
          <w:sz w:val="32"/>
          <w:szCs w:val="32"/>
          <w:lang w:eastAsia="zh-TW"/>
        </w:rPr>
        <w:t xml:space="preserve"> </w:t>
      </w:r>
      <w:r>
        <w:rPr>
          <w:rFonts w:ascii="標楷體" w:eastAsia="標楷體" w:hAnsi="標楷體"/>
          <w:sz w:val="32"/>
          <w:szCs w:val="32"/>
          <w:lang w:eastAsia="zh-TW"/>
        </w:rPr>
        <w:t xml:space="preserve">條　</w:t>
      </w:r>
      <w:r>
        <w:rPr>
          <w:rFonts w:ascii="標楷體" w:eastAsia="標楷體" w:hAnsi="標楷體"/>
          <w:sz w:val="32"/>
          <w:szCs w:val="32"/>
          <w:lang w:eastAsia="zh-TW"/>
        </w:rPr>
        <w:t xml:space="preserve">  </w:t>
      </w:r>
      <w:r>
        <w:rPr>
          <w:rFonts w:ascii="標楷體" w:eastAsia="標楷體" w:hAnsi="標楷體"/>
          <w:sz w:val="32"/>
          <w:szCs w:val="32"/>
          <w:lang w:eastAsia="zh-TW"/>
        </w:rPr>
        <w:t>本法第二十一條第四項所定自法院作成撤銷或變更裁判之日起逾十五年未能確定其應納稅額者，不得再行核課，該十五年之起算日，依下列規定</w:t>
      </w:r>
      <w:r>
        <w:rPr>
          <w:rFonts w:ascii="標楷體" w:eastAsia="標楷體" w:hAnsi="標楷體"/>
          <w:sz w:val="32"/>
          <w:szCs w:val="32"/>
          <w:lang w:eastAsia="zh-TW"/>
        </w:rPr>
        <w:t>:</w:t>
      </w:r>
    </w:p>
    <w:p w:rsidR="006C2F6A" w:rsidRDefault="00D8182F">
      <w:pPr>
        <w:pStyle w:val="Standard"/>
        <w:tabs>
          <w:tab w:val="left" w:pos="1349"/>
          <w:tab w:val="left" w:pos="1904"/>
          <w:tab w:val="left" w:pos="319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一、本法施行後法院最初作成撤銷或變更裁判之日。</w:t>
      </w:r>
    </w:p>
    <w:p w:rsidR="006C2F6A" w:rsidRDefault="00D8182F">
      <w:pPr>
        <w:pStyle w:val="Standard"/>
        <w:tabs>
          <w:tab w:val="left" w:pos="2653"/>
          <w:tab w:val="left" w:pos="3208"/>
          <w:tab w:val="left" w:pos="4498"/>
        </w:tabs>
        <w:overflowPunct w:val="0"/>
        <w:spacing w:line="360" w:lineRule="auto"/>
        <w:ind w:left="2608" w:hanging="624"/>
        <w:jc w:val="both"/>
        <w:rPr>
          <w:rFonts w:ascii="標楷體" w:eastAsia="標楷體" w:hAnsi="標楷體"/>
          <w:sz w:val="32"/>
          <w:szCs w:val="32"/>
          <w:lang w:eastAsia="zh-TW"/>
        </w:rPr>
      </w:pPr>
      <w:r>
        <w:rPr>
          <w:rFonts w:ascii="標楷體" w:eastAsia="標楷體" w:hAnsi="標楷體"/>
          <w:sz w:val="32"/>
          <w:szCs w:val="32"/>
          <w:lang w:eastAsia="zh-TW"/>
        </w:rPr>
        <w:t>二、納稅者對於第一審終局裁判提起上訴或抗告，於本法施行後經上級行政法院最初作成廢棄原裁判之日。</w:t>
      </w:r>
    </w:p>
    <w:p w:rsidR="006C2F6A" w:rsidRDefault="00D8182F">
      <w:pPr>
        <w:pStyle w:val="Standard"/>
        <w:tabs>
          <w:tab w:val="left" w:pos="1349"/>
          <w:tab w:val="left" w:pos="1904"/>
          <w:tab w:val="left" w:pos="319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前項所稱作成撤銷、變更或廢棄原裁判之日，指宣示日；其不宣示者，為公告日。</w:t>
      </w:r>
    </w:p>
    <w:p w:rsidR="006C2F6A" w:rsidRDefault="00D8182F">
      <w:pPr>
        <w:pStyle w:val="Standard"/>
        <w:tabs>
          <w:tab w:val="left" w:pos="1349"/>
          <w:tab w:val="left" w:pos="1904"/>
          <w:tab w:val="left" w:pos="3194"/>
        </w:tabs>
        <w:overflowPunct w:val="0"/>
        <w:spacing w:line="360" w:lineRule="auto"/>
        <w:ind w:left="1304" w:firstLine="680"/>
        <w:jc w:val="both"/>
        <w:rPr>
          <w:rFonts w:ascii="標楷體" w:eastAsia="標楷體" w:hAnsi="標楷體"/>
          <w:sz w:val="32"/>
          <w:szCs w:val="32"/>
          <w:lang w:eastAsia="zh-TW"/>
        </w:rPr>
      </w:pPr>
      <w:r>
        <w:rPr>
          <w:rFonts w:ascii="標楷體" w:eastAsia="標楷體" w:hAnsi="標楷體"/>
          <w:sz w:val="32"/>
          <w:szCs w:val="32"/>
          <w:lang w:eastAsia="zh-TW"/>
        </w:rPr>
        <w:t>本法第二十一條第四項但書所稱不在此限，指不受十五年不得再行核課期間之限制。</w:t>
      </w:r>
    </w:p>
    <w:p w:rsidR="006C2F6A" w:rsidRDefault="00D8182F">
      <w:pPr>
        <w:pStyle w:val="Standard"/>
        <w:tabs>
          <w:tab w:val="left" w:pos="1349"/>
          <w:tab w:val="left" w:pos="1904"/>
          <w:tab w:val="left" w:pos="3194"/>
        </w:tabs>
        <w:overflowPunct w:val="0"/>
        <w:spacing w:line="360" w:lineRule="auto"/>
        <w:ind w:left="1304" w:hanging="1304"/>
        <w:jc w:val="both"/>
        <w:rPr>
          <w:rFonts w:ascii="標楷體" w:eastAsia="標楷體" w:hAnsi="標楷體"/>
          <w:sz w:val="32"/>
          <w:szCs w:val="32"/>
          <w:lang w:eastAsia="zh-TW"/>
        </w:rPr>
      </w:pPr>
      <w:r>
        <w:rPr>
          <w:rFonts w:ascii="標楷體" w:eastAsia="標楷體" w:hAnsi="標楷體"/>
          <w:sz w:val="32"/>
          <w:szCs w:val="32"/>
          <w:lang w:eastAsia="zh-TW"/>
        </w:rPr>
        <w:t>第</w:t>
      </w:r>
      <w:r>
        <w:rPr>
          <w:rFonts w:ascii="標楷體" w:eastAsia="標楷體" w:hAnsi="標楷體"/>
          <w:sz w:val="32"/>
          <w:szCs w:val="32"/>
          <w:lang w:eastAsia="zh-TW"/>
        </w:rPr>
        <w:t xml:space="preserve"> </w:t>
      </w:r>
      <w:r>
        <w:rPr>
          <w:rFonts w:ascii="標楷體" w:eastAsia="標楷體" w:hAnsi="標楷體"/>
          <w:sz w:val="32"/>
          <w:szCs w:val="32"/>
          <w:lang w:eastAsia="zh-TW"/>
        </w:rPr>
        <w:t>十一</w:t>
      </w:r>
      <w:r>
        <w:rPr>
          <w:rFonts w:ascii="標楷體" w:eastAsia="標楷體" w:hAnsi="標楷體"/>
          <w:sz w:val="32"/>
          <w:szCs w:val="32"/>
          <w:lang w:eastAsia="zh-TW"/>
        </w:rPr>
        <w:t xml:space="preserve"> </w:t>
      </w:r>
      <w:r>
        <w:rPr>
          <w:rFonts w:ascii="標楷體" w:eastAsia="標楷體" w:hAnsi="標楷體"/>
          <w:sz w:val="32"/>
          <w:szCs w:val="32"/>
          <w:lang w:eastAsia="zh-TW"/>
        </w:rPr>
        <w:t>條　本細則自中華民國一百零六年十二月二十八日施行。</w:t>
      </w:r>
    </w:p>
    <w:p w:rsidR="006C2F6A" w:rsidRDefault="006C2F6A">
      <w:pPr>
        <w:pStyle w:val="Standard"/>
        <w:tabs>
          <w:tab w:val="left" w:pos="45"/>
          <w:tab w:val="left" w:pos="600"/>
          <w:tab w:val="left" w:pos="1890"/>
        </w:tabs>
        <w:overflowPunct w:val="0"/>
        <w:spacing w:line="360" w:lineRule="auto"/>
        <w:jc w:val="both"/>
        <w:rPr>
          <w:rFonts w:ascii="標楷體" w:eastAsia="標楷體" w:hAnsi="標楷體"/>
          <w:sz w:val="32"/>
          <w:szCs w:val="32"/>
          <w:lang w:eastAsia="zh-TW"/>
        </w:rPr>
      </w:pPr>
    </w:p>
    <w:sectPr w:rsidR="006C2F6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2F" w:rsidRDefault="00D8182F">
      <w:r>
        <w:separator/>
      </w:r>
    </w:p>
  </w:endnote>
  <w:endnote w:type="continuationSeparator" w:id="0">
    <w:p w:rsidR="00D8182F" w:rsidRDefault="00D8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2F" w:rsidRDefault="00D8182F">
      <w:r>
        <w:rPr>
          <w:color w:val="000000"/>
        </w:rPr>
        <w:separator/>
      </w:r>
    </w:p>
  </w:footnote>
  <w:footnote w:type="continuationSeparator" w:id="0">
    <w:p w:rsidR="00D8182F" w:rsidRDefault="00D81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attachedTemplate r:id="rId1"/>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2F6A"/>
    <w:rsid w:val="006C2F6A"/>
    <w:rsid w:val="00AF4B10"/>
    <w:rsid w:val="00D81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戴郁芬</dc:creator>
  <cp:lastModifiedBy>郁芬 戴</cp:lastModifiedBy>
  <cp:revision>2</cp:revision>
  <cp:lastPrinted>2016-04-28T16:53:00Z</cp:lastPrinted>
  <dcterms:created xsi:type="dcterms:W3CDTF">2017-09-14T09:18:00Z</dcterms:created>
  <dcterms:modified xsi:type="dcterms:W3CDTF">2017-09-14T09:18:00Z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