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30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fldChar w:fldCharType="begin"/>
      </w:r>
      <w:r w:rsidRPr="007824C3">
        <w:rPr>
          <w:rFonts w:ascii="標楷體" w:eastAsia="標楷體" w:hAnsi="標楷體" w:cs="新細明體"/>
          <w:color w:val="000000"/>
          <w:kern w:val="0"/>
        </w:rPr>
        <w:instrText xml:space="preserve"> HYPERLINK "http://law.kinmen.gov.tw/LawContent.aspx?id=FL030844" </w:instrText>
      </w:r>
      <w:r w:rsidRPr="007824C3">
        <w:rPr>
          <w:rFonts w:ascii="標楷體" w:eastAsia="標楷體" w:hAnsi="標楷體" w:cs="新細明體"/>
          <w:color w:val="000000"/>
          <w:kern w:val="0"/>
        </w:rPr>
        <w:fldChar w:fldCharType="separate"/>
      </w:r>
      <w:r w:rsidRPr="007824C3">
        <w:rPr>
          <w:rFonts w:ascii="標楷體" w:eastAsia="標楷體" w:hAnsi="標楷體" w:cs="新細明體"/>
          <w:color w:val="0077B4"/>
          <w:kern w:val="0"/>
          <w:u w:val="single"/>
        </w:rPr>
        <w:t>金門縣污水下水道使用費徵收自治條例</w:t>
      </w:r>
      <w:r w:rsidRPr="007824C3">
        <w:rPr>
          <w:rFonts w:ascii="標楷體" w:eastAsia="標楷體" w:hAnsi="標楷體" w:cs="新細明體"/>
          <w:color w:val="000000"/>
          <w:kern w:val="0"/>
        </w:rPr>
        <w:fldChar w:fldCharType="end"/>
      </w:r>
      <w:r w:rsidRPr="007824C3">
        <w:rPr>
          <w:rFonts w:ascii="標楷體" w:eastAsia="標楷體" w:hAnsi="標楷體" w:cs="新細明體"/>
          <w:color w:val="000000"/>
          <w:kern w:val="0"/>
        </w:rPr>
        <w:t xml:space="preserve"> ( 民國 </w:t>
      </w:r>
      <w:smartTag w:uri="urn:schemas-microsoft-com:office:smarttags" w:element="chsdate">
        <w:smartTagPr>
          <w:attr w:name="Year" w:val="1992"/>
          <w:attr w:name="Month" w:val="07"/>
          <w:attr w:name="Day" w:val="30"/>
          <w:attr w:name="IsLunarDate" w:val="False"/>
          <w:attr w:name="IsROCDate" w:val="False"/>
        </w:smartTagPr>
        <w:r w:rsidRPr="007824C3">
          <w:rPr>
            <w:rFonts w:ascii="標楷體" w:eastAsia="標楷體" w:hAnsi="標楷體" w:cs="新細明體"/>
            <w:color w:val="000000"/>
            <w:kern w:val="0"/>
          </w:rPr>
          <w:t>92 年 07 月</w:t>
        </w:r>
      </w:smartTag>
      <w:r w:rsidRPr="007824C3">
        <w:rPr>
          <w:rFonts w:ascii="標楷體" w:eastAsia="標楷體" w:hAnsi="標楷體" w:cs="新細明體"/>
          <w:color w:val="000000"/>
          <w:kern w:val="0"/>
        </w:rPr>
        <w:t xml:space="preserve"> 30 日 公發布 )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1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本自治條例依下水道法 (以下簡稱本法) 第二十六條第二項規定訂定之。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2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本自治條例以金門縣政府 (以下簡稱本府) 為主管機關，並指定本府自來水廠為管理機關。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3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接用本縣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下水道系統之用戶，應依本自治條例規定繳納使用費。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4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下水道用戶分為一般用戶及事業用戶，其使用費依下列規定收取：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一、使用自來水之用戶，按每月用水量計收。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hint="eastAsia"/>
          <w:lang w:eastAsia="zh-HK"/>
        </w:rPr>
        <w:t>二</w:t>
      </w:r>
      <w:r>
        <w:rPr>
          <w:rFonts w:ascii="新細明體" w:eastAsia="新細明體" w:hAnsi="新細明體" w:hint="eastAsia"/>
          <w:lang w:eastAsia="zh-HK"/>
        </w:rPr>
        <w:t>、</w:t>
      </w:r>
      <w:r w:rsidRPr="007824C3">
        <w:rPr>
          <w:rFonts w:ascii="標楷體" w:eastAsia="標楷體" w:hAnsi="標楷體" w:cs="新細明體"/>
          <w:color w:val="000000"/>
          <w:kern w:val="0"/>
        </w:rPr>
        <w:t>非使用自來水之用戶，應裝置水表，按每月用水量計收。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三、因特殊情況未裝置水表者，得以抽水機出水管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徑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計算其用水量，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管徑未達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五十公厘者，用水量每月以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00"/>
          <w:attr w:name="UnitName" w:val="立方公尺"/>
        </w:smartTagPr>
        <w:r w:rsidRPr="007824C3">
          <w:rPr>
            <w:rFonts w:ascii="標楷體" w:eastAsia="標楷體" w:hAnsi="標楷體" w:cs="新細明體"/>
            <w:color w:val="000000"/>
            <w:kern w:val="0"/>
          </w:rPr>
          <w:t>二百立方公尺</w:t>
        </w:r>
      </w:smartTag>
      <w:r w:rsidRPr="007824C3">
        <w:rPr>
          <w:rFonts w:ascii="標楷體" w:eastAsia="標楷體" w:hAnsi="標楷體" w:cs="新細明體"/>
          <w:color w:val="000000"/>
          <w:kern w:val="0"/>
        </w:rPr>
        <w:t>計算，管徑五十公厘以上未達一百公厘者，每月以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800"/>
          <w:attr w:name="UnitName" w:val="立方公尺"/>
        </w:smartTagPr>
        <w:r w:rsidRPr="007824C3">
          <w:rPr>
            <w:rFonts w:ascii="標楷體" w:eastAsia="標楷體" w:hAnsi="標楷體" w:cs="新細明體"/>
            <w:color w:val="000000"/>
            <w:kern w:val="0"/>
          </w:rPr>
          <w:t>八百立方公尺</w:t>
        </w:r>
      </w:smartTag>
      <w:r w:rsidRPr="007824C3">
        <w:rPr>
          <w:rFonts w:ascii="標楷體" w:eastAsia="標楷體" w:hAnsi="標楷體" w:cs="新細明體"/>
          <w:color w:val="000000"/>
          <w:kern w:val="0"/>
        </w:rPr>
        <w:t>計算，管徑一百公厘以上者，每月以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2500"/>
          <w:attr w:name="UnitName" w:val="立方公尺"/>
        </w:smartTagPr>
        <w:r w:rsidRPr="007824C3">
          <w:rPr>
            <w:rFonts w:ascii="標楷體" w:eastAsia="標楷體" w:hAnsi="標楷體" w:cs="新細明體"/>
            <w:color w:val="000000"/>
            <w:kern w:val="0"/>
          </w:rPr>
          <w:t>二千五百立方公尺</w:t>
        </w:r>
      </w:smartTag>
      <w:r w:rsidRPr="007824C3">
        <w:rPr>
          <w:rFonts w:ascii="標楷體" w:eastAsia="標楷體" w:hAnsi="標楷體" w:cs="新細明體"/>
          <w:color w:val="000000"/>
          <w:kern w:val="0"/>
        </w:rPr>
        <w:t>計算。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前項所稱事業用戶，係指水污染防治法第二條第七款所規定之事業，其廢水排入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下水道系統設施者；一般用戶，係指非事業用戶。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5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下水道使用費計算公式如下：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一、一般用戶：平均單位水量使用費 (新臺幣元／立方</w:t>
      </w:r>
      <w:bookmarkStart w:id="0" w:name="_GoBack"/>
      <w:bookmarkEnd w:id="0"/>
      <w:r w:rsidRPr="007824C3">
        <w:rPr>
          <w:rFonts w:ascii="標楷體" w:eastAsia="標楷體" w:hAnsi="標楷體" w:cs="新細明體"/>
          <w:color w:val="000000"/>
          <w:kern w:val="0"/>
        </w:rPr>
        <w:t>公尺) ＝年總營運成本 (新臺幣元) ／年平均處理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量 (立方公尺) 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二、事業用戶：按一般用戶使用費二倍計收。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前項使用費單價由管理機關依公式計算，報經本府核准後公告之。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第一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項所稱年總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營運成本，係指下列各款：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一、折舊費：指建設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下水道系統設施依耐用年限每年應分擔之費用。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二、地上 (下) 物補償費：指建設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下水道系統設施所需徵收土地之補償地上 (下) 改良物及管線通過私地應支付之費用。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三、借款利息：指因借款建設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下水道系統設施，每年應攤還之利息。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四、操作維護更新費用：指維持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下水道系統設施正常營運操作所需之一切費用，包括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處理廠、抽水站、截流站之保養、機電設備之更新維護、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管渠清理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、維修及水電、藥品、檢驗等費用。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五、業務費用：指管理機關辦理業務所需之費用。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六、回饋金：指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處理廠為辦理鄰近地區敦親睦鄰依第八條規定所支付之費用。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第一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項所稱年平均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處理</w:t>
      </w:r>
      <w:proofErr w:type="gramStart"/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量係指</w:t>
      </w:r>
      <w:proofErr w:type="gramEnd"/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廠設計量之年平均總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量。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6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用戶之用水來源或用戶種類變更，當月份使用水源或種類日數在十五日以上者，</w:t>
      </w:r>
      <w:r w:rsidRPr="007824C3">
        <w:rPr>
          <w:rFonts w:ascii="標楷體" w:eastAsia="標楷體" w:hAnsi="標楷體" w:cs="新細明體"/>
          <w:color w:val="000000"/>
          <w:kern w:val="0"/>
        </w:rPr>
        <w:lastRenderedPageBreak/>
        <w:t>按原收費方式計收；未滿十五日者，按新水源或用戶種類之收費方式計收。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7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以自來水為水源者，其使用費得委託自來水事業機構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併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同自來水費收取之。</w:t>
      </w:r>
      <w:r w:rsidRPr="007824C3">
        <w:rPr>
          <w:rFonts w:ascii="標楷體" w:eastAsia="標楷體" w:hAnsi="標楷體" w:cs="新細明體"/>
          <w:color w:val="000000"/>
          <w:kern w:val="0"/>
        </w:rPr>
        <w:br/>
        <w:t>以非自來水為水源者，由管理機關收取。同時使用自來水及非自來水二種水源者，分別計收。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8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處理廠對鄰近地區用戶，得優先提供</w:t>
      </w: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處理廠之工作機會，並按上年度實收使用費總額百分之五，於下年度預算中編列回饋金，補助地方興建公共設施及辦理社會福利使用。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9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FF0000"/>
          <w:kern w:val="0"/>
        </w:rPr>
        <w:t>污水</w:t>
      </w:r>
      <w:r w:rsidRPr="007824C3">
        <w:rPr>
          <w:rFonts w:ascii="標楷體" w:eastAsia="標楷體" w:hAnsi="標楷體" w:cs="新細明體"/>
          <w:color w:val="000000"/>
          <w:kern w:val="0"/>
        </w:rPr>
        <w:t>下水道使用費率應依預算程序按委託代收總額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提撥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百分之四至百分之八做為代收機構手續費。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10 條</w:t>
      </w:r>
    </w:p>
    <w:p w:rsidR="00214C6B" w:rsidRDefault="00214C6B">
      <w:pPr>
        <w:rPr>
          <w:rFonts w:ascii="標楷體" w:eastAsia="標楷體" w:hAnsi="標楷體" w:cs="新細明體" w:hint="eastAsia"/>
          <w:color w:val="000000"/>
          <w:kern w:val="0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用戶不依規定繳納使用費者，依本法第二十七條規定辦理。</w:t>
      </w:r>
    </w:p>
    <w:p w:rsidR="00214C6B" w:rsidRDefault="00214C6B">
      <w:pPr>
        <w:rPr>
          <w:rFonts w:ascii="標楷體" w:eastAsia="標楷體" w:hAnsi="標楷體" w:cs="新細明體" w:hint="eastAsia"/>
          <w:b/>
          <w:bCs/>
          <w:color w:val="000000"/>
          <w:kern w:val="0"/>
        </w:rPr>
      </w:pPr>
      <w:r w:rsidRPr="007824C3">
        <w:rPr>
          <w:rFonts w:ascii="標楷體" w:eastAsia="標楷體" w:hAnsi="標楷體" w:cs="新細明體"/>
          <w:b/>
          <w:bCs/>
          <w:color w:val="000000"/>
          <w:kern w:val="0"/>
        </w:rPr>
        <w:t>第 11 條</w:t>
      </w:r>
    </w:p>
    <w:p w:rsidR="00214C6B" w:rsidRPr="00214C6B" w:rsidRDefault="00214C6B">
      <w:pPr>
        <w:rPr>
          <w:rFonts w:ascii="標楷體" w:eastAsia="標楷體" w:hAnsi="標楷體"/>
        </w:rPr>
      </w:pPr>
      <w:r w:rsidRPr="007824C3">
        <w:rPr>
          <w:rFonts w:ascii="標楷體" w:eastAsia="標楷體" w:hAnsi="標楷體" w:cs="新細明體"/>
          <w:color w:val="000000"/>
          <w:kern w:val="0"/>
        </w:rPr>
        <w:t>本自治條例施行日期，由</w:t>
      </w:r>
      <w:proofErr w:type="gramStart"/>
      <w:r w:rsidRPr="007824C3">
        <w:rPr>
          <w:rFonts w:ascii="標楷體" w:eastAsia="標楷體" w:hAnsi="標楷體" w:cs="新細明體"/>
          <w:color w:val="000000"/>
          <w:kern w:val="0"/>
        </w:rPr>
        <w:t>本府定之</w:t>
      </w:r>
      <w:proofErr w:type="gramEnd"/>
      <w:r w:rsidRPr="007824C3">
        <w:rPr>
          <w:rFonts w:ascii="標楷體" w:eastAsia="標楷體" w:hAnsi="標楷體" w:cs="新細明體"/>
          <w:color w:val="000000"/>
          <w:kern w:val="0"/>
        </w:rPr>
        <w:t>。</w:t>
      </w:r>
    </w:p>
    <w:sectPr w:rsidR="00214C6B" w:rsidRPr="00214C6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6B"/>
    <w:rsid w:val="00214C6B"/>
    <w:rsid w:val="008714AF"/>
    <w:rsid w:val="008D4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6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C6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2019-12-17T07:18:00Z</dcterms:created>
  <dcterms:modified xsi:type="dcterms:W3CDTF">2019-12-17T07:27:00Z</dcterms:modified>
</cp:coreProperties>
</file>