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2" w:rsidRPr="00143131" w:rsidRDefault="0081170A" w:rsidP="00DE46A9">
      <w:pPr>
        <w:jc w:val="center"/>
        <w:rPr>
          <w:rFonts w:ascii="標楷體" w:eastAsia="標楷體" w:hAnsi="標楷體"/>
          <w:sz w:val="32"/>
          <w:szCs w:val="32"/>
        </w:rPr>
      </w:pPr>
      <w:r w:rsidRPr="00143131">
        <w:rPr>
          <w:rFonts w:ascii="標楷體" w:eastAsia="標楷體" w:hAnsi="標楷體" w:hint="eastAsia"/>
          <w:sz w:val="32"/>
          <w:szCs w:val="32"/>
        </w:rPr>
        <w:t>金門港</w:t>
      </w:r>
      <w:r w:rsidR="00F2669D" w:rsidRPr="00143131">
        <w:rPr>
          <w:rFonts w:ascii="標楷體" w:eastAsia="標楷體" w:hAnsi="標楷體" w:hint="eastAsia"/>
          <w:sz w:val="32"/>
          <w:szCs w:val="32"/>
        </w:rPr>
        <w:t>料羅港區</w:t>
      </w:r>
      <w:r w:rsidR="00D93CE2" w:rsidRPr="00143131">
        <w:rPr>
          <w:rFonts w:ascii="標楷體" w:eastAsia="標楷體" w:hAnsi="標楷體" w:hint="eastAsia"/>
          <w:sz w:val="32"/>
          <w:szCs w:val="32"/>
        </w:rPr>
        <w:t>砂石船</w:t>
      </w:r>
      <w:r w:rsidR="00830814" w:rsidRPr="00143131">
        <w:rPr>
          <w:rFonts w:ascii="標楷體" w:eastAsia="標楷體" w:hAnsi="標楷體" w:hint="eastAsia"/>
          <w:sz w:val="32"/>
          <w:szCs w:val="32"/>
        </w:rPr>
        <w:t>舶</w:t>
      </w:r>
      <w:r w:rsidR="00D93CE2" w:rsidRPr="00143131">
        <w:rPr>
          <w:rFonts w:ascii="標楷體" w:eastAsia="標楷體" w:hAnsi="標楷體" w:hint="eastAsia"/>
          <w:sz w:val="32"/>
          <w:szCs w:val="32"/>
        </w:rPr>
        <w:t>預報</w:t>
      </w:r>
      <w:r w:rsidR="006217FC" w:rsidRPr="00143131">
        <w:rPr>
          <w:rFonts w:ascii="標楷體" w:eastAsia="標楷體" w:hAnsi="標楷體" w:hint="eastAsia"/>
          <w:sz w:val="32"/>
          <w:szCs w:val="32"/>
        </w:rPr>
        <w:t>管理</w:t>
      </w:r>
      <w:r w:rsidR="00DE46A9" w:rsidRPr="00143131">
        <w:rPr>
          <w:rFonts w:ascii="標楷體" w:eastAsia="標楷體" w:hAnsi="標楷體" w:hint="eastAsia"/>
          <w:sz w:val="32"/>
          <w:szCs w:val="32"/>
        </w:rPr>
        <w:t>要點</w:t>
      </w:r>
    </w:p>
    <w:p w:rsidR="00B03820" w:rsidRPr="00143131" w:rsidRDefault="00B03820" w:rsidP="00361CCF">
      <w:pPr>
        <w:wordWrap w:val="0"/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143131">
        <w:rPr>
          <w:rFonts w:ascii="標楷體" w:eastAsia="標楷體" w:hAnsi="標楷體" w:hint="eastAsia"/>
          <w:sz w:val="20"/>
          <w:szCs w:val="20"/>
        </w:rPr>
        <w:t>金門縣港務處</w:t>
      </w:r>
      <w:r w:rsidR="00AB185A">
        <w:rPr>
          <w:rFonts w:ascii="標楷體" w:eastAsia="標楷體" w:hAnsi="標楷體" w:hint="eastAsia"/>
          <w:sz w:val="20"/>
          <w:szCs w:val="20"/>
        </w:rPr>
        <w:t>111</w:t>
      </w:r>
      <w:r w:rsidRPr="00143131">
        <w:rPr>
          <w:rFonts w:ascii="標楷體" w:eastAsia="標楷體" w:hAnsi="標楷體" w:hint="eastAsia"/>
          <w:sz w:val="20"/>
          <w:szCs w:val="20"/>
        </w:rPr>
        <w:t>年</w:t>
      </w:r>
      <w:r w:rsidR="00C206F9">
        <w:rPr>
          <w:rFonts w:ascii="標楷體" w:eastAsia="標楷體" w:hAnsi="標楷體" w:hint="eastAsia"/>
          <w:sz w:val="20"/>
          <w:szCs w:val="20"/>
        </w:rPr>
        <w:t>2</w:t>
      </w:r>
      <w:r w:rsidRPr="00143131">
        <w:rPr>
          <w:rFonts w:ascii="標楷體" w:eastAsia="標楷體" w:hAnsi="標楷體" w:hint="eastAsia"/>
          <w:sz w:val="20"/>
          <w:szCs w:val="20"/>
        </w:rPr>
        <w:t>月</w:t>
      </w:r>
      <w:r w:rsidR="00C206F9">
        <w:rPr>
          <w:rFonts w:ascii="標楷體" w:eastAsia="標楷體" w:hAnsi="標楷體" w:hint="eastAsia"/>
          <w:sz w:val="20"/>
          <w:szCs w:val="20"/>
        </w:rPr>
        <w:t>11</w:t>
      </w:r>
      <w:r w:rsidRPr="00143131">
        <w:rPr>
          <w:rFonts w:ascii="標楷體" w:eastAsia="標楷體" w:hAnsi="標楷體" w:hint="eastAsia"/>
          <w:sz w:val="20"/>
          <w:szCs w:val="20"/>
        </w:rPr>
        <w:t>日第</w:t>
      </w:r>
      <w:r w:rsidR="00C206F9">
        <w:rPr>
          <w:rFonts w:ascii="標楷體" w:eastAsia="標楷體" w:hAnsi="標楷體" w:hint="eastAsia"/>
          <w:sz w:val="20"/>
          <w:szCs w:val="20"/>
        </w:rPr>
        <w:t>1110000818</w:t>
      </w:r>
      <w:r w:rsidR="000467C7" w:rsidRPr="00143131">
        <w:rPr>
          <w:rFonts w:ascii="標楷體" w:eastAsia="標楷體" w:hAnsi="標楷體" w:hint="eastAsia"/>
          <w:sz w:val="20"/>
          <w:szCs w:val="20"/>
        </w:rPr>
        <w:t>號</w:t>
      </w:r>
      <w:bookmarkStart w:id="0" w:name="_GoBack"/>
      <w:bookmarkEnd w:id="0"/>
      <w:r w:rsidR="00E67C1E">
        <w:rPr>
          <w:rFonts w:ascii="標楷體" w:eastAsia="標楷體" w:hAnsi="標楷體" w:hint="eastAsia"/>
          <w:sz w:val="20"/>
          <w:szCs w:val="20"/>
        </w:rPr>
        <w:t>公</w:t>
      </w:r>
      <w:r w:rsidR="000467C7" w:rsidRPr="00143131">
        <w:rPr>
          <w:rFonts w:ascii="標楷體" w:eastAsia="標楷體" w:hAnsi="標楷體" w:hint="eastAsia"/>
          <w:sz w:val="20"/>
          <w:szCs w:val="20"/>
        </w:rPr>
        <w:t>告</w:t>
      </w:r>
      <w:r w:rsidR="00361CCF" w:rsidRPr="00143131">
        <w:rPr>
          <w:rFonts w:ascii="標楷體" w:eastAsia="標楷體" w:hAnsi="標楷體" w:hint="eastAsia"/>
          <w:sz w:val="20"/>
          <w:szCs w:val="20"/>
        </w:rPr>
        <w:t>修訂</w:t>
      </w:r>
    </w:p>
    <w:p w:rsidR="00460613" w:rsidRPr="00143131" w:rsidRDefault="00460613" w:rsidP="0046061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D93CE2" w:rsidRPr="00143131" w:rsidRDefault="00F67BA5" w:rsidP="00F67BA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一、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名詞解釋：</w:t>
      </w:r>
    </w:p>
    <w:p w:rsidR="00D93CE2" w:rsidRPr="00143131" w:rsidRDefault="00D93CE2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</w:t>
      </w:r>
      <w:r w:rsidR="00317C80" w:rsidRPr="00143131">
        <w:rPr>
          <w:rFonts w:ascii="標楷體" w:eastAsia="標楷體" w:hAnsi="標楷體" w:hint="eastAsia"/>
          <w:sz w:val="28"/>
          <w:szCs w:val="28"/>
        </w:rPr>
        <w:t>報(排)</w:t>
      </w:r>
      <w:r w:rsidR="00073BC9" w:rsidRPr="00143131">
        <w:rPr>
          <w:rFonts w:ascii="標楷體" w:eastAsia="標楷體" w:hAnsi="標楷體" w:hint="eastAsia"/>
          <w:sz w:val="28"/>
          <w:szCs w:val="28"/>
        </w:rPr>
        <w:t>船舶：</w:t>
      </w:r>
      <w:r w:rsidRPr="00143131">
        <w:rPr>
          <w:rFonts w:ascii="標楷體" w:eastAsia="標楷體" w:hAnsi="標楷體" w:hint="eastAsia"/>
          <w:sz w:val="28"/>
          <w:szCs w:val="28"/>
        </w:rPr>
        <w:t>係指船舶未到港，先預為安排進港時間之船舶。</w:t>
      </w:r>
    </w:p>
    <w:p w:rsidR="00D93CE2" w:rsidRPr="00143131" w:rsidRDefault="00073BC9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排班船舶：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係指船舶到港後，始安排進港時間之船舶。</w:t>
      </w:r>
    </w:p>
    <w:p w:rsidR="008A6B6C" w:rsidRPr="00143131" w:rsidRDefault="008A6B6C" w:rsidP="00E9311E">
      <w:pPr>
        <w:pStyle w:val="a3"/>
        <w:numPr>
          <w:ilvl w:val="0"/>
          <w:numId w:val="3"/>
        </w:numPr>
        <w:spacing w:line="460" w:lineRule="exact"/>
        <w:ind w:leftChars="0" w:left="1276" w:hanging="622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船舶未到港：係指船舶未到本港，依程序向本處港務台(於距1海浬)通報進港或錨泊。</w:t>
      </w:r>
    </w:p>
    <w:p w:rsidR="00EB6904" w:rsidRPr="00411ABE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二、</w:t>
      </w:r>
      <w:r w:rsidR="00411ABE" w:rsidRPr="00411ABE">
        <w:rPr>
          <w:rFonts w:ascii="標楷體" w:eastAsia="標楷體" w:hAnsi="標楷體" w:hint="eastAsia"/>
          <w:sz w:val="28"/>
          <w:szCs w:val="28"/>
        </w:rPr>
        <w:tab/>
      </w:r>
      <w:r w:rsidR="00411ABE" w:rsidRPr="00411ABE">
        <w:rPr>
          <w:rFonts w:ascii="標楷體" w:eastAsia="標楷體" w:hAnsi="標楷體" w:hint="eastAsia"/>
          <w:color w:val="FF0000"/>
          <w:sz w:val="28"/>
          <w:szCs w:val="28"/>
        </w:rPr>
        <w:t>砂石專用船席</w:t>
      </w:r>
      <w:r w:rsidR="00411ABE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411ABE" w:rsidRPr="00411ABE">
        <w:rPr>
          <w:rFonts w:ascii="標楷體" w:eastAsia="標楷體" w:hAnsi="標楷體" w:hint="eastAsia"/>
          <w:color w:val="FF0000"/>
          <w:sz w:val="28"/>
          <w:szCs w:val="28"/>
        </w:rPr>
        <w:t>#6-2</w:t>
      </w:r>
      <w:r w:rsidR="00EB14EE">
        <w:rPr>
          <w:rFonts w:ascii="標楷體" w:eastAsia="標楷體" w:hAnsi="標楷體" w:hint="eastAsia"/>
          <w:color w:val="FF0000"/>
          <w:sz w:val="28"/>
          <w:szCs w:val="28"/>
        </w:rPr>
        <w:t>碼頭</w:t>
      </w:r>
      <w:r w:rsidR="00411ABE" w:rsidRPr="00411ABE">
        <w:rPr>
          <w:rFonts w:ascii="標楷體" w:eastAsia="標楷體" w:hAnsi="標楷體" w:hint="eastAsia"/>
          <w:color w:val="FF0000"/>
          <w:sz w:val="28"/>
          <w:szCs w:val="28"/>
        </w:rPr>
        <w:t>為主，倘有夜間(1800)加班作業需求，開放#6-1</w:t>
      </w:r>
      <w:r w:rsidR="00EB14EE">
        <w:rPr>
          <w:rFonts w:ascii="標楷體" w:eastAsia="標楷體" w:hAnsi="標楷體" w:hint="eastAsia"/>
          <w:color w:val="FF0000"/>
          <w:sz w:val="28"/>
          <w:szCs w:val="28"/>
        </w:rPr>
        <w:t>碼頭</w:t>
      </w:r>
      <w:r w:rsidR="00411ABE" w:rsidRPr="00411ABE">
        <w:rPr>
          <w:rFonts w:ascii="標楷體" w:eastAsia="標楷體" w:hAnsi="標楷體" w:hint="eastAsia"/>
          <w:color w:val="FF0000"/>
          <w:sz w:val="28"/>
          <w:szCs w:val="28"/>
        </w:rPr>
        <w:t>作為預備砂石船席（日間原則不開放，視當日船舶狀況安排）</w:t>
      </w:r>
      <w:r w:rsidR="00486599" w:rsidRPr="00411AB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B6904" w:rsidRPr="00411ABE">
        <w:rPr>
          <w:rFonts w:ascii="標楷體" w:eastAsia="標楷體" w:hAnsi="標楷體" w:hint="eastAsia"/>
          <w:color w:val="FF0000"/>
          <w:sz w:val="28"/>
          <w:szCs w:val="28"/>
        </w:rPr>
        <w:t>以先報先預排於「砂石碼頭船席調度動態表」為原則。</w:t>
      </w:r>
    </w:p>
    <w:p w:rsidR="008203E3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三、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船舶(代理)業者應將</w:t>
      </w:r>
      <w:r w:rsidR="009D68B4" w:rsidRPr="00143131">
        <w:rPr>
          <w:rFonts w:ascii="標楷體" w:eastAsia="標楷體" w:hAnsi="標楷體" w:hint="eastAsia"/>
          <w:sz w:val="28"/>
          <w:szCs w:val="28"/>
        </w:rPr>
        <w:t>交通部航港局核准之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航線申請表</w:t>
      </w:r>
      <w:r w:rsidR="00AC3B46" w:rsidRPr="00143131">
        <w:rPr>
          <w:rFonts w:ascii="標楷體" w:eastAsia="標楷體" w:hAnsi="標楷體" w:hint="eastAsia"/>
          <w:sz w:val="28"/>
          <w:szCs w:val="28"/>
        </w:rPr>
        <w:t>、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進(出)港報告單、船員名單</w:t>
      </w:r>
      <w:r w:rsidR="00486599" w:rsidRPr="00143131">
        <w:rPr>
          <w:rFonts w:ascii="標楷體" w:eastAsia="標楷體" w:hAnsi="標楷體" w:hint="eastAsia"/>
          <w:sz w:val="28"/>
          <w:szCs w:val="28"/>
        </w:rPr>
        <w:t>等相關資料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備妥後</w:t>
      </w:r>
      <w:r w:rsidR="009D68B4" w:rsidRPr="00143131">
        <w:rPr>
          <w:rFonts w:ascii="標楷體" w:eastAsia="標楷體" w:hAnsi="標楷體" w:hint="eastAsia"/>
          <w:sz w:val="28"/>
          <w:szCs w:val="28"/>
        </w:rPr>
        <w:t>，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利用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本處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金門港港埠資訊系統(</w:t>
      </w:r>
      <w:r w:rsidR="00795200" w:rsidRPr="00143131">
        <w:rPr>
          <w:rFonts w:ascii="標楷體" w:eastAsia="標楷體" w:hAnsi="標楷體"/>
          <w:sz w:val="28"/>
          <w:szCs w:val="28"/>
        </w:rPr>
        <w:t>http://210.241.41.135/kmeis/manager/index.php</w:t>
      </w:r>
      <w:r w:rsidR="00795200" w:rsidRPr="00143131">
        <w:rPr>
          <w:rFonts w:ascii="標楷體" w:eastAsia="標楷體" w:hAnsi="標楷體" w:hint="eastAsia"/>
          <w:sz w:val="28"/>
          <w:szCs w:val="28"/>
        </w:rPr>
        <w:t>)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辦理進出港報關手續</w:t>
      </w:r>
      <w:r w:rsidR="00424197" w:rsidRPr="00143131">
        <w:rPr>
          <w:rFonts w:ascii="標楷體" w:eastAsia="標楷體" w:hAnsi="標楷體" w:hint="eastAsia"/>
          <w:sz w:val="28"/>
          <w:szCs w:val="28"/>
        </w:rPr>
        <w:t>(帳號申請及登錄船舶請於辦理進出港手續前3日辦理，以便作業)</w:t>
      </w:r>
      <w:r w:rsidR="00E532BC" w:rsidRPr="00143131">
        <w:rPr>
          <w:rFonts w:ascii="標楷體" w:eastAsia="標楷體" w:hAnsi="標楷體" w:hint="eastAsia"/>
          <w:sz w:val="28"/>
          <w:szCs w:val="28"/>
        </w:rPr>
        <w:t>。</w:t>
      </w:r>
      <w:r w:rsidR="008203E3" w:rsidRPr="00143131">
        <w:rPr>
          <w:rFonts w:ascii="標楷體" w:eastAsia="標楷體" w:hAnsi="標楷體" w:hint="eastAsia"/>
          <w:sz w:val="28"/>
          <w:szCs w:val="28"/>
        </w:rPr>
        <w:t>另航港局核准之航線申請表注意事項如下：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船舶進港前，須先行送航港局核准之不定期航線申請書（正、影本皆可），</w:t>
      </w:r>
      <w:r w:rsidR="00183E18" w:rsidRPr="00143131">
        <w:rPr>
          <w:rFonts w:ascii="標楷體" w:eastAsia="標楷體" w:hAnsi="標楷體" w:hint="eastAsia"/>
          <w:sz w:val="28"/>
          <w:szCs w:val="28"/>
        </w:rPr>
        <w:t>以</w:t>
      </w:r>
      <w:r w:rsidRPr="00143131">
        <w:rPr>
          <w:rFonts w:ascii="標楷體" w:eastAsia="標楷體" w:hAnsi="標楷體" w:hint="eastAsia"/>
          <w:sz w:val="28"/>
          <w:szCs w:val="28"/>
        </w:rPr>
        <w:t>確定該船舶航線業經航港局許可。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航港局核准之不定期航線申請表日期逾期者，船舶不予進港，須重新向航港局申請。</w:t>
      </w:r>
    </w:p>
    <w:p w:rsidR="008203E3" w:rsidRPr="00143131" w:rsidRDefault="008203E3" w:rsidP="00E9311E">
      <w:pPr>
        <w:pStyle w:val="a3"/>
        <w:numPr>
          <w:ilvl w:val="3"/>
          <w:numId w:val="11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航港局核准之不定期航線申請書不應有塗改處，如有塗改須航港局重新蓋章許可。</w:t>
      </w:r>
    </w:p>
    <w:p w:rsidR="004611C4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四、</w:t>
      </w:r>
      <w:r w:rsidR="004611C4" w:rsidRPr="00143131">
        <w:rPr>
          <w:rFonts w:ascii="標楷體" w:eastAsia="標楷體" w:hAnsi="標楷體" w:hint="eastAsia"/>
          <w:sz w:val="28"/>
          <w:szCs w:val="28"/>
        </w:rPr>
        <w:t>砂石船得多次預報預排作業時間，由本處隨時更新於砂石船席表。惟預報作業完成後，通報取消(更換延後者視同取消)，依取消時間計點，規定如下：</w:t>
      </w:r>
    </w:p>
    <w:p w:rsidR="0013788A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預報1日(含當日)前取消或逾時未到港：計點7點。</w:t>
      </w:r>
    </w:p>
    <w:p w:rsidR="004611C4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預報2~6日前取消：依取消日數分別計點6~2點。</w:t>
      </w:r>
    </w:p>
    <w:p w:rsidR="004611C4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預報7日前取消：計點1點。</w:t>
      </w:r>
    </w:p>
    <w:p w:rsidR="004611C4" w:rsidRPr="00143131" w:rsidRDefault="0013788A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船舶逾時到港計罰3點。</w:t>
      </w:r>
    </w:p>
    <w:p w:rsidR="001E6145" w:rsidRPr="00143131" w:rsidRDefault="0013788A" w:rsidP="00232025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船舶</w:t>
      </w:r>
      <w:r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逾時未出港，以致影響後續其他船舶</w:t>
      </w:r>
      <w:r w:rsidRPr="00143131">
        <w:rPr>
          <w:rFonts w:ascii="標楷體" w:eastAsia="標楷體" w:hAnsi="標楷體" w:hint="eastAsia"/>
          <w:sz w:val="28"/>
          <w:szCs w:val="28"/>
        </w:rPr>
        <w:t>作業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經受影響之船舶</w:t>
      </w:r>
      <w:r w:rsidR="00E864D3" w:rsidRPr="00143131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代理</w:t>
      </w:r>
      <w:r w:rsidR="00E864D3" w:rsidRPr="00143131">
        <w:rPr>
          <w:rFonts w:ascii="標楷體" w:eastAsia="標楷體" w:hAnsi="標楷體" w:hint="eastAsia"/>
          <w:sz w:val="28"/>
          <w:szCs w:val="28"/>
        </w:rPr>
        <w:t>)</w:t>
      </w:r>
      <w:r w:rsidR="00054BB5" w:rsidRPr="00143131">
        <w:rPr>
          <w:rFonts w:ascii="標楷體" w:eastAsia="標楷體" w:hAnsi="標楷體" w:hint="eastAsia"/>
          <w:sz w:val="28"/>
          <w:szCs w:val="28"/>
        </w:rPr>
        <w:t>業者反映</w:t>
      </w:r>
      <w:r w:rsidRPr="00143131">
        <w:rPr>
          <w:rFonts w:ascii="標楷體" w:eastAsia="標楷體" w:hAnsi="標楷體" w:hint="eastAsia"/>
          <w:sz w:val="28"/>
          <w:szCs w:val="28"/>
        </w:rPr>
        <w:t>，由本處調度通知後15分鐘內未出港者，計罰7點</w:t>
      </w:r>
      <w:r w:rsidR="00232025" w:rsidRPr="00143131">
        <w:rPr>
          <w:rFonts w:ascii="標楷體" w:eastAsia="標楷體" w:hAnsi="標楷體" w:hint="eastAsia"/>
          <w:sz w:val="28"/>
          <w:szCs w:val="28"/>
        </w:rPr>
        <w:t>，並依商港法等相關規定</w:t>
      </w:r>
      <w:r w:rsidR="00B951F6" w:rsidRPr="00143131">
        <w:rPr>
          <w:rFonts w:ascii="標楷體" w:eastAsia="標楷體" w:hAnsi="標楷體" w:hint="eastAsia"/>
          <w:sz w:val="28"/>
          <w:szCs w:val="28"/>
        </w:rPr>
        <w:t>裁處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13788A" w:rsidRPr="00143131" w:rsidRDefault="004611C4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計罰累計10點之次日起(超出部分繼續累計)，取消該船所有已申請之預報，且不受理該船預報作業30</w:t>
      </w:r>
      <w:r w:rsidR="0000359D" w:rsidRPr="00143131">
        <w:rPr>
          <w:rFonts w:ascii="標楷體" w:eastAsia="標楷體" w:hAnsi="標楷體" w:hint="eastAsia"/>
          <w:sz w:val="28"/>
          <w:szCs w:val="28"/>
        </w:rPr>
        <w:t>日，另因延後預排時間遭計罰者，計罰時間以該延後之預排時間結束之次日起算。</w:t>
      </w:r>
    </w:p>
    <w:p w:rsidR="0062034E" w:rsidRPr="00143131" w:rsidRDefault="0062034E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前項遭計罰取消預排之船舶，於確定船舶到港後，始得於砂石船席表登錄排班時間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(不限當日)</w:t>
      </w:r>
      <w:r w:rsidRPr="00143131">
        <w:rPr>
          <w:rFonts w:ascii="標楷體" w:eastAsia="標楷體" w:hAnsi="標楷體" w:hint="eastAsia"/>
          <w:sz w:val="28"/>
          <w:szCs w:val="28"/>
        </w:rPr>
        <w:t>，進港作業。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另計罰船舶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申請當日夜間作業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者不在此限，惟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應於當日下午17時後確定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無其他排班船舶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有空檔始得排班作業</w:t>
      </w:r>
      <w:r w:rsidR="00E65A76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8A6B6C" w:rsidRPr="00143131" w:rsidRDefault="008A6B6C" w:rsidP="00407948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預排同日作業船舶得經雙方協調後互換預排進港時間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(雙方船舶皆已到港)</w:t>
      </w:r>
      <w:r w:rsidRPr="00143131">
        <w:rPr>
          <w:rFonts w:ascii="標楷體" w:eastAsia="標楷體" w:hAnsi="標楷體" w:hint="eastAsia"/>
          <w:sz w:val="28"/>
          <w:szCs w:val="28"/>
        </w:rPr>
        <w:t>，不予計罰；不同日預排船舶互換者，更換延後者視同取消</w:t>
      </w:r>
      <w:r w:rsidR="001D74BD" w:rsidRPr="00143131">
        <w:rPr>
          <w:rFonts w:ascii="標楷體" w:eastAsia="標楷體" w:hAnsi="標楷體" w:hint="eastAsia"/>
          <w:sz w:val="28"/>
          <w:szCs w:val="28"/>
        </w:rPr>
        <w:t>(計罰)後重新預排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D72CD2" w:rsidRPr="00143131" w:rsidRDefault="00D72CD2" w:rsidP="00E9311E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預報項目、數量與實際載運</w:t>
      </w:r>
      <w:r w:rsidR="006D4924" w:rsidRPr="00143131">
        <w:rPr>
          <w:rFonts w:ascii="標楷體" w:eastAsia="標楷體" w:hAnsi="標楷體" w:hint="eastAsia"/>
          <w:sz w:val="28"/>
          <w:szCs w:val="28"/>
        </w:rPr>
        <w:t>內容</w:t>
      </w:r>
      <w:r w:rsidRPr="00143131">
        <w:rPr>
          <w:rFonts w:ascii="標楷體" w:eastAsia="標楷體" w:hAnsi="標楷體" w:hint="eastAsia"/>
          <w:sz w:val="28"/>
          <w:szCs w:val="28"/>
        </w:rPr>
        <w:t>不符，</w:t>
      </w:r>
      <w:r w:rsidR="008D066E" w:rsidRPr="00143131">
        <w:rPr>
          <w:rFonts w:ascii="標楷體" w:eastAsia="標楷體" w:hAnsi="標楷體" w:hint="eastAsia"/>
          <w:sz w:val="28"/>
          <w:szCs w:val="28"/>
        </w:rPr>
        <w:t>致</w:t>
      </w:r>
      <w:r w:rsidRPr="00143131">
        <w:rPr>
          <w:rFonts w:ascii="標楷體" w:eastAsia="標楷體" w:hAnsi="標楷體" w:hint="eastAsia"/>
          <w:sz w:val="28"/>
          <w:szCs w:val="28"/>
        </w:rPr>
        <w:t>影響</w:t>
      </w:r>
      <w:r w:rsidR="008D066E" w:rsidRPr="00143131">
        <w:rPr>
          <w:rFonts w:ascii="標楷體" w:eastAsia="標楷體" w:hAnsi="標楷體" w:hint="eastAsia"/>
          <w:sz w:val="28"/>
          <w:szCs w:val="28"/>
        </w:rPr>
        <w:t>裝卸作業</w:t>
      </w:r>
      <w:r w:rsidRPr="00143131">
        <w:rPr>
          <w:rFonts w:ascii="標楷體" w:eastAsia="標楷體" w:hAnsi="標楷體" w:hint="eastAsia"/>
          <w:sz w:val="28"/>
          <w:szCs w:val="28"/>
        </w:rPr>
        <w:t>預排時間者，計罰7點</w:t>
      </w:r>
      <w:r w:rsidR="008D5726" w:rsidRPr="00143131">
        <w:rPr>
          <w:rFonts w:ascii="標楷體" w:eastAsia="標楷體" w:hAnsi="標楷體" w:hint="eastAsia"/>
          <w:sz w:val="28"/>
          <w:szCs w:val="28"/>
        </w:rPr>
        <w:t>，並依實際載運數量給予作業時間</w:t>
      </w:r>
      <w:r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8D5726" w:rsidRPr="00143131" w:rsidRDefault="008D5726" w:rsidP="008D5726">
      <w:pPr>
        <w:pStyle w:val="a3"/>
        <w:numPr>
          <w:ilvl w:val="0"/>
          <w:numId w:val="4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一年內如未再被計點得以註銷計罰點數，以最後遭計點當日開始計算為原則。</w:t>
      </w:r>
    </w:p>
    <w:p w:rsidR="0013788A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五、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受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不可抗力因素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影響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(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如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天災)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或因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本港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船舶進出管制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影響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進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出港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時間者</w:t>
      </w:r>
      <w:r w:rsidR="0013788A" w:rsidRPr="00143131">
        <w:rPr>
          <w:rFonts w:ascii="標楷體" w:eastAsia="標楷體" w:hAnsi="標楷體" w:cs="Arial"/>
          <w:sz w:val="28"/>
          <w:szCs w:val="28"/>
          <w:shd w:val="clear" w:color="auto" w:fill="FFFFFF"/>
        </w:rPr>
        <w:t>，不予計罰</w:t>
      </w:r>
      <w:r w:rsidR="0013788A" w:rsidRPr="0014313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，判斷標準如下：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以交通部中央氣象局-漁業氣象-台灣近海-金門海面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或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官方提供</w:t>
      </w:r>
      <w:r w:rsidR="00221415" w:rsidRPr="00143131">
        <w:rPr>
          <w:rFonts w:ascii="標楷體" w:eastAsia="標楷體" w:hAnsi="標楷體" w:hint="eastAsia"/>
          <w:sz w:val="28"/>
          <w:szCs w:val="28"/>
        </w:rPr>
        <w:t>出發港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之</w:t>
      </w:r>
      <w:r w:rsidR="00221415" w:rsidRPr="00143131">
        <w:rPr>
          <w:rFonts w:ascii="標楷體" w:eastAsia="標楷體" w:hAnsi="標楷體" w:hint="eastAsia"/>
          <w:sz w:val="28"/>
          <w:szCs w:val="28"/>
        </w:rPr>
        <w:t>氣象資料陣風</w:t>
      </w:r>
      <w:r w:rsidR="008D2B0E" w:rsidRPr="00143131">
        <w:rPr>
          <w:rFonts w:ascii="標楷體" w:eastAsia="標楷體" w:hAnsi="標楷體" w:hint="eastAsia"/>
          <w:sz w:val="28"/>
          <w:szCs w:val="28"/>
        </w:rPr>
        <w:t>作為依據</w:t>
      </w:r>
      <w:r w:rsidRPr="00143131">
        <w:rPr>
          <w:rFonts w:ascii="標楷體" w:eastAsia="標楷體" w:hAnsi="標楷體" w:hint="eastAsia"/>
          <w:sz w:val="28"/>
          <w:szCs w:val="28"/>
        </w:rPr>
        <w:t>，以陣風6級以上為不可抗力因素，不予計罰之標準。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因霧天影響無法到港</w:t>
      </w:r>
      <w:r w:rsidR="006B6F40" w:rsidRPr="00143131">
        <w:rPr>
          <w:rFonts w:ascii="標楷體" w:eastAsia="標楷體" w:hAnsi="標楷體" w:hint="eastAsia"/>
          <w:sz w:val="28"/>
          <w:szCs w:val="28"/>
        </w:rPr>
        <w:t>(如陸方口岸封港)</w:t>
      </w:r>
      <w:r w:rsidRPr="00143131">
        <w:rPr>
          <w:rFonts w:ascii="標楷體" w:eastAsia="標楷體" w:hAnsi="標楷體" w:hint="eastAsia"/>
          <w:sz w:val="28"/>
          <w:szCs w:val="28"/>
        </w:rPr>
        <w:t>，以提供官方相關證明為依據。</w:t>
      </w:r>
    </w:p>
    <w:p w:rsidR="00F47026" w:rsidRPr="00143131" w:rsidRDefault="00F47026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因颱風影響無法到港，以前揭所述中央氣象局漁業氣象標準(陣風6級以上)或提供官方相關證明為依據。</w:t>
      </w:r>
    </w:p>
    <w:p w:rsidR="0013788A" w:rsidRPr="00143131" w:rsidRDefault="006B6F40" w:rsidP="006002BE">
      <w:pPr>
        <w:pStyle w:val="a3"/>
        <w:numPr>
          <w:ilvl w:val="0"/>
          <w:numId w:val="9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上揭提送相關證明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，應於</w:t>
      </w:r>
      <w:r w:rsidRPr="00143131">
        <w:rPr>
          <w:rFonts w:ascii="標楷體" w:eastAsia="標楷體" w:hAnsi="標楷體" w:hint="eastAsia"/>
          <w:sz w:val="28"/>
          <w:szCs w:val="28"/>
        </w:rPr>
        <w:t>2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日內</w:t>
      </w:r>
      <w:r w:rsidRPr="00143131">
        <w:rPr>
          <w:rFonts w:ascii="標楷體" w:eastAsia="標楷體" w:hAnsi="標楷體" w:hint="eastAsia"/>
          <w:sz w:val="28"/>
          <w:szCs w:val="28"/>
        </w:rPr>
        <w:t>(含預排當日)</w:t>
      </w:r>
      <w:r w:rsidR="0013788A" w:rsidRPr="00143131">
        <w:rPr>
          <w:rFonts w:ascii="標楷體" w:eastAsia="標楷體" w:hAnsi="標楷體" w:hint="eastAsia"/>
          <w:sz w:val="28"/>
          <w:szCs w:val="28"/>
        </w:rPr>
        <w:t>提送本處料羅調度以茲證明。</w:t>
      </w:r>
    </w:p>
    <w:p w:rsidR="008D2B0E" w:rsidRPr="00143131" w:rsidRDefault="00C40C17" w:rsidP="008D2B0E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因不可抗力因素致港口管制長達1小時以上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無法進港作業時</w:t>
      </w:r>
      <w:r w:rsidRPr="00143131">
        <w:rPr>
          <w:rFonts w:ascii="標楷體" w:eastAsia="標楷體" w:hAnsi="標楷體" w:hint="eastAsia"/>
          <w:sz w:val="28"/>
          <w:szCs w:val="28"/>
        </w:rPr>
        <w:t>，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該預排時間之船舶得視同取消</w:t>
      </w:r>
      <w:r w:rsidR="0096730C" w:rsidRPr="00143131">
        <w:rPr>
          <w:rFonts w:ascii="標楷體" w:eastAsia="標楷體" w:hAnsi="標楷體" w:hint="eastAsia"/>
          <w:sz w:val="28"/>
          <w:szCs w:val="28"/>
        </w:rPr>
        <w:t>另排班</w:t>
      </w:r>
      <w:r w:rsidRPr="00143131">
        <w:rPr>
          <w:rFonts w:ascii="標楷體" w:eastAsia="標楷體" w:hAnsi="標楷體" w:hint="eastAsia"/>
          <w:sz w:val="28"/>
          <w:szCs w:val="28"/>
        </w:rPr>
        <w:t>進港作業</w:t>
      </w:r>
      <w:r w:rsidR="009C3454" w:rsidRPr="00143131">
        <w:rPr>
          <w:rFonts w:ascii="標楷體" w:eastAsia="標楷體" w:hAnsi="標楷體" w:hint="eastAsia"/>
          <w:sz w:val="28"/>
          <w:szCs w:val="28"/>
        </w:rPr>
        <w:t>，不予計罰</w:t>
      </w:r>
      <w:r w:rsidR="002F3BEF" w:rsidRPr="00143131">
        <w:rPr>
          <w:rFonts w:ascii="標楷體" w:eastAsia="標楷體" w:hAnsi="標楷體" w:hint="eastAsia"/>
          <w:sz w:val="28"/>
          <w:szCs w:val="28"/>
        </w:rPr>
        <w:t>，倘仍要進港作業以不影響其他已預排船舶為原則。</w:t>
      </w:r>
    </w:p>
    <w:p w:rsidR="004611C4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D93CE2" w:rsidRPr="00143131">
        <w:rPr>
          <w:rFonts w:ascii="標楷體" w:eastAsia="標楷體" w:hAnsi="標楷體" w:hint="eastAsia"/>
          <w:sz w:val="28"/>
          <w:szCs w:val="28"/>
        </w:rPr>
        <w:t>砂</w:t>
      </w:r>
      <w:r w:rsidR="004611C4" w:rsidRPr="00143131">
        <w:rPr>
          <w:rFonts w:ascii="標楷體" w:eastAsia="標楷體" w:hAnsi="標楷體" w:hint="eastAsia"/>
          <w:sz w:val="28"/>
          <w:szCs w:val="28"/>
        </w:rPr>
        <w:t>石船</w:t>
      </w:r>
      <w:r w:rsidR="004611C4" w:rsidRPr="00143131">
        <w:rPr>
          <w:rFonts w:ascii="標楷體" w:eastAsia="標楷體" w:hAnsi="標楷體"/>
          <w:sz w:val="28"/>
          <w:szCs w:val="28"/>
        </w:rPr>
        <w:t>作業時間</w:t>
      </w:r>
      <w:r w:rsidR="00937B0A" w:rsidRPr="00143131">
        <w:rPr>
          <w:rFonts w:ascii="標楷體" w:eastAsia="標楷體" w:hAnsi="標楷體" w:hint="eastAsia"/>
          <w:sz w:val="28"/>
          <w:szCs w:val="28"/>
        </w:rPr>
        <w:t>(以下時間含載運、潮汐等無法作業時間)</w:t>
      </w:r>
      <w:r w:rsidR="00AA6948" w:rsidRPr="00143131">
        <w:rPr>
          <w:rFonts w:ascii="標楷體" w:eastAsia="標楷體" w:hAnsi="標楷體" w:hint="eastAsia"/>
          <w:sz w:val="28"/>
          <w:szCs w:val="28"/>
        </w:rPr>
        <w:t>如下，</w:t>
      </w:r>
      <w:r w:rsidR="00C23F53" w:rsidRPr="00143131">
        <w:rPr>
          <w:rFonts w:ascii="標楷體" w:eastAsia="標楷體" w:hAnsi="標楷體" w:hint="eastAsia"/>
          <w:sz w:val="28"/>
          <w:szCs w:val="28"/>
        </w:rPr>
        <w:t>同時段進出港船舶多，因調度造成砂石船延誤進港作業時間，非歸責船方因素，依進港時間順延作業時間。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裝載量1000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噸以下：5小時。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裝載量100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~2000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噸：9小時。</w:t>
      </w:r>
    </w:p>
    <w:p w:rsidR="00D36F13" w:rsidRPr="00143131" w:rsidRDefault="00D36F13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裝載量200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="00633C70" w:rsidRPr="00143131">
        <w:rPr>
          <w:rFonts w:ascii="標楷體" w:eastAsia="標楷體" w:hAnsi="標楷體" w:hint="eastAsia"/>
          <w:sz w:val="28"/>
          <w:szCs w:val="28"/>
        </w:rPr>
        <w:t>~</w:t>
      </w:r>
      <w:r w:rsidRPr="00143131">
        <w:rPr>
          <w:rFonts w:ascii="標楷體" w:eastAsia="標楷體" w:hAnsi="標楷體" w:hint="eastAsia"/>
          <w:sz w:val="28"/>
          <w:szCs w:val="28"/>
        </w:rPr>
        <w:t>3000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(含)</w:t>
      </w:r>
      <w:r w:rsidRPr="00143131">
        <w:rPr>
          <w:rFonts w:ascii="標楷體" w:eastAsia="標楷體" w:hAnsi="標楷體" w:hint="eastAsia"/>
          <w:sz w:val="28"/>
          <w:szCs w:val="28"/>
        </w:rPr>
        <w:t>噸：36小時。</w:t>
      </w:r>
    </w:p>
    <w:p w:rsidR="0065314D" w:rsidRPr="00143131" w:rsidRDefault="0065314D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</w:t>
      </w:r>
      <w:r w:rsidR="00D36F13" w:rsidRPr="00143131">
        <w:rPr>
          <w:rFonts w:ascii="標楷體" w:eastAsia="標楷體" w:hAnsi="標楷體" w:hint="eastAsia"/>
          <w:sz w:val="28"/>
          <w:szCs w:val="28"/>
        </w:rPr>
        <w:t>300</w:t>
      </w:r>
      <w:r w:rsidR="008D2B0E" w:rsidRPr="00143131">
        <w:rPr>
          <w:rFonts w:ascii="標楷體" w:eastAsia="標楷體" w:hAnsi="標楷體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噸</w:t>
      </w:r>
      <w:r w:rsidR="00864848" w:rsidRPr="00143131">
        <w:rPr>
          <w:rFonts w:ascii="標楷體" w:eastAsia="標楷體" w:hAnsi="標楷體"/>
          <w:kern w:val="0"/>
          <w:sz w:val="28"/>
        </w:rPr>
        <w:t>~4000</w:t>
      </w:r>
      <w:r w:rsidR="00864848" w:rsidRPr="00143131">
        <w:rPr>
          <w:rFonts w:ascii="標楷體" w:eastAsia="標楷體" w:hAnsi="標楷體" w:hint="eastAsia"/>
          <w:kern w:val="0"/>
          <w:sz w:val="28"/>
        </w:rPr>
        <w:t>噸</w:t>
      </w:r>
      <w:r w:rsidR="00864848" w:rsidRPr="00143131">
        <w:rPr>
          <w:rFonts w:ascii="標楷體" w:eastAsia="標楷體" w:hAnsi="標楷體"/>
          <w:kern w:val="0"/>
          <w:sz w:val="28"/>
        </w:rPr>
        <w:t>(</w:t>
      </w:r>
      <w:r w:rsidR="00864848" w:rsidRPr="00143131">
        <w:rPr>
          <w:rFonts w:ascii="標楷體" w:eastAsia="標楷體" w:hAnsi="標楷體" w:hint="eastAsia"/>
          <w:kern w:val="0"/>
          <w:sz w:val="28"/>
        </w:rPr>
        <w:t>含</w:t>
      </w:r>
      <w:r w:rsidR="00864848" w:rsidRPr="00143131">
        <w:rPr>
          <w:rFonts w:ascii="標楷體" w:eastAsia="標楷體" w:hAnsi="標楷體"/>
          <w:kern w:val="0"/>
          <w:sz w:val="28"/>
        </w:rPr>
        <w:t>)</w:t>
      </w:r>
      <w:r w:rsidRPr="00143131">
        <w:rPr>
          <w:rFonts w:ascii="標楷體" w:eastAsia="標楷體" w:hAnsi="標楷體" w:hint="eastAsia"/>
          <w:sz w:val="28"/>
          <w:szCs w:val="28"/>
        </w:rPr>
        <w:t>：48小時。</w:t>
      </w:r>
    </w:p>
    <w:p w:rsidR="00937B0A" w:rsidRPr="00143131" w:rsidRDefault="00937B0A" w:rsidP="006002BE">
      <w:pPr>
        <w:pStyle w:val="a3"/>
        <w:numPr>
          <w:ilvl w:val="0"/>
          <w:numId w:val="6"/>
        </w:numPr>
        <w:spacing w:line="460" w:lineRule="exact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裝載量400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1</w:t>
      </w:r>
      <w:r w:rsidRPr="00143131">
        <w:rPr>
          <w:rFonts w:ascii="標楷體" w:eastAsia="標楷體" w:hAnsi="標楷體" w:hint="eastAsia"/>
          <w:sz w:val="28"/>
          <w:szCs w:val="28"/>
        </w:rPr>
        <w:t>噸以上：</w:t>
      </w:r>
      <w:r w:rsidR="007257B5" w:rsidRPr="00143131">
        <w:rPr>
          <w:rFonts w:ascii="標楷體" w:eastAsia="標楷體" w:hAnsi="標楷體" w:hint="eastAsia"/>
          <w:sz w:val="28"/>
          <w:szCs w:val="28"/>
        </w:rPr>
        <w:t>72</w:t>
      </w:r>
      <w:r w:rsidRPr="00143131">
        <w:rPr>
          <w:rFonts w:ascii="標楷體" w:eastAsia="標楷體" w:hAnsi="標楷體" w:hint="eastAsia"/>
          <w:sz w:val="28"/>
          <w:szCs w:val="28"/>
        </w:rPr>
        <w:t>小時。</w:t>
      </w:r>
    </w:p>
    <w:p w:rsidR="0031284B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七、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裝載塊石作業時間視塊石大小依上列作業時間，至多2倍</w:t>
      </w:r>
      <w:r w:rsidR="006F36F2" w:rsidRPr="00143131">
        <w:rPr>
          <w:rFonts w:ascii="標楷體" w:eastAsia="標楷體" w:hAnsi="標楷體" w:hint="eastAsia"/>
          <w:sz w:val="28"/>
          <w:szCs w:val="28"/>
        </w:rPr>
        <w:t>，惟應於預報時事先敘明裝載塊石需延長作業時間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31284B" w:rsidRPr="00143131" w:rsidRDefault="00F67BA5" w:rsidP="006E04C0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八、</w:t>
      </w:r>
      <w:r w:rsidR="003B1807" w:rsidRPr="00143131">
        <w:rPr>
          <w:rFonts w:ascii="標楷體" w:eastAsia="標楷體" w:hAnsi="標楷體" w:hint="eastAsia"/>
          <w:sz w:val="28"/>
          <w:szCs w:val="28"/>
        </w:rPr>
        <w:t>砂石船附載雜貨等，如於1小時內可完成，得視為砂石船逕於預排之砂石船席一併作業，否則視為一般貨船，先於一般船席將附載雜貨等卸完，再依排定順序安排砂石船席作業</w:t>
      </w:r>
      <w:r w:rsidR="0031284B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2E3A02" w:rsidRPr="00143131" w:rsidRDefault="00F67BA5" w:rsidP="00BC0869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九、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船舶每航次僅能預排一連續作業時間段，於排</w:t>
      </w:r>
      <w:r w:rsidR="003447F1" w:rsidRPr="00143131">
        <w:rPr>
          <w:rFonts w:ascii="標楷體" w:eastAsia="標楷體" w:hAnsi="標楷體" w:hint="eastAsia"/>
          <w:sz w:val="28"/>
          <w:szCs w:val="28"/>
        </w:rPr>
        <w:t>定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時間</w:t>
      </w:r>
      <w:r w:rsidR="003447F1" w:rsidRPr="00143131">
        <w:rPr>
          <w:rFonts w:ascii="標楷體" w:eastAsia="標楷體" w:hAnsi="標楷體" w:hint="eastAsia"/>
          <w:sz w:val="28"/>
          <w:szCs w:val="28"/>
        </w:rPr>
        <w:t>內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未完成作業</w:t>
      </w:r>
      <w:r w:rsidR="00C66F8E" w:rsidRPr="00143131">
        <w:rPr>
          <w:rFonts w:ascii="標楷體" w:eastAsia="標楷體" w:hAnsi="標楷體" w:hint="eastAsia"/>
          <w:sz w:val="28"/>
          <w:szCs w:val="28"/>
        </w:rPr>
        <w:t>者</w:t>
      </w:r>
      <w:r w:rsidR="002E3A02" w:rsidRPr="00143131">
        <w:rPr>
          <w:rFonts w:ascii="標楷體" w:eastAsia="標楷體" w:hAnsi="標楷體" w:hint="eastAsia"/>
          <w:sz w:val="28"/>
          <w:szCs w:val="28"/>
        </w:rPr>
        <w:t>，</w:t>
      </w:r>
      <w:r w:rsidR="006B6F40" w:rsidRPr="00143131">
        <w:rPr>
          <w:rFonts w:ascii="標楷體" w:eastAsia="標楷體" w:hAnsi="標楷體" w:hint="eastAsia"/>
          <w:sz w:val="28"/>
          <w:szCs w:val="28"/>
        </w:rPr>
        <w:t>再予排班進港作業，不得分段預排</w:t>
      </w:r>
      <w:r w:rsidR="00411ABE">
        <w:rPr>
          <w:rFonts w:ascii="標楷體" w:eastAsia="標楷體" w:hAnsi="標楷體" w:hint="eastAsia"/>
          <w:sz w:val="28"/>
          <w:szCs w:val="28"/>
        </w:rPr>
        <w:t>；</w:t>
      </w:r>
      <w:r w:rsidR="00BC0869" w:rsidRPr="00411ABE">
        <w:rPr>
          <w:rFonts w:ascii="標楷體" w:eastAsia="標楷體" w:hAnsi="標楷體" w:hint="eastAsia"/>
          <w:color w:val="FF0000"/>
          <w:sz w:val="28"/>
          <w:szCs w:val="28"/>
        </w:rPr>
        <w:t>另受限料羅港碼頭空間有限及配合彈性運用，砂石船舶應避開小三通尖峰時段</w:t>
      </w:r>
      <w:r w:rsidR="00882A30" w:rsidRPr="00411ABE">
        <w:rPr>
          <w:rFonts w:ascii="標楷體" w:eastAsia="標楷體" w:hAnsi="標楷體" w:hint="eastAsia"/>
          <w:color w:val="FF0000"/>
          <w:sz w:val="28"/>
          <w:szCs w:val="28"/>
        </w:rPr>
        <w:t>（星期四</w:t>
      </w:r>
      <w:r w:rsidR="00411ABE" w:rsidRPr="00411ABE">
        <w:rPr>
          <w:rFonts w:ascii="標楷體" w:eastAsia="標楷體" w:hAnsi="標楷體" w:hint="eastAsia"/>
          <w:color w:val="FF0000"/>
          <w:sz w:val="28"/>
          <w:szCs w:val="28"/>
        </w:rPr>
        <w:t>、日</w:t>
      </w:r>
      <w:r w:rsidR="00882A30" w:rsidRPr="00411ABE">
        <w:rPr>
          <w:rFonts w:ascii="標楷體" w:eastAsia="標楷體" w:hAnsi="標楷體" w:hint="eastAsia"/>
          <w:color w:val="FF0000"/>
          <w:sz w:val="28"/>
          <w:szCs w:val="28"/>
        </w:rPr>
        <w:t>僅限下午16:00以後才可預排）。</w:t>
      </w:r>
    </w:p>
    <w:p w:rsidR="00754996" w:rsidRPr="00143131" w:rsidRDefault="00754996" w:rsidP="00BC0869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十、預排24小時以上船舶，如逾時到港(含不可抗力因素)，請於預排當日(上午11時前)通知本處調度取消該航次或確認逾時到港時間</w:t>
      </w:r>
      <w:r w:rsidR="002B282E" w:rsidRPr="00143131">
        <w:rPr>
          <w:rFonts w:ascii="標楷體" w:eastAsia="標楷體" w:hAnsi="標楷體" w:hint="eastAsia"/>
          <w:sz w:val="28"/>
          <w:szCs w:val="28"/>
        </w:rPr>
        <w:t>（本處於「砂石碼頭船席調度動態表」移除逾時到港時段）</w:t>
      </w:r>
      <w:r w:rsidRPr="00143131">
        <w:rPr>
          <w:rFonts w:ascii="標楷體" w:eastAsia="標楷體" w:hAnsi="標楷體" w:hint="eastAsia"/>
          <w:sz w:val="28"/>
          <w:szCs w:val="28"/>
        </w:rPr>
        <w:t>，倘未通知視同取消，確認逾時到港時間內未到港視同取消計罰7點(不得以不可抗力因素為由)</w:t>
      </w:r>
    </w:p>
    <w:p w:rsidR="00F67BA5" w:rsidRPr="00143131" w:rsidRDefault="00F67BA5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</w:t>
      </w:r>
      <w:r w:rsidR="00754996" w:rsidRPr="00143131">
        <w:rPr>
          <w:rFonts w:ascii="標楷體" w:eastAsia="標楷體" w:hAnsi="標楷體" w:hint="eastAsia"/>
          <w:sz w:val="28"/>
          <w:szCs w:val="28"/>
        </w:rPr>
        <w:t>一</w:t>
      </w:r>
      <w:r w:rsidRPr="00143131">
        <w:rPr>
          <w:rFonts w:ascii="標楷體" w:eastAsia="標楷體" w:hAnsi="標楷體" w:hint="eastAsia"/>
          <w:sz w:val="28"/>
          <w:szCs w:val="28"/>
        </w:rPr>
        <w:t>、</w:t>
      </w:r>
      <w:r w:rsidR="006E04C0" w:rsidRPr="00143131">
        <w:rPr>
          <w:rFonts w:ascii="標楷體" w:eastAsia="標楷體" w:hAnsi="標楷體" w:hint="eastAsia"/>
          <w:sz w:val="28"/>
          <w:szCs w:val="28"/>
        </w:rPr>
        <w:t>空檔船席安排原則：</w:t>
      </w:r>
    </w:p>
    <w:p w:rsidR="006E04C0" w:rsidRPr="00143131" w:rsidRDefault="006E04C0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(一)船舶</w:t>
      </w:r>
      <w:r w:rsidR="00407948" w:rsidRPr="00143131">
        <w:rPr>
          <w:rFonts w:ascii="標楷體" w:eastAsia="標楷體" w:hAnsi="標楷體" w:hint="eastAsia"/>
          <w:sz w:val="28"/>
          <w:szCs w:val="28"/>
        </w:rPr>
        <w:t>取消作業或</w:t>
      </w:r>
      <w:r w:rsidRPr="00143131">
        <w:rPr>
          <w:rFonts w:ascii="標楷體" w:eastAsia="標楷體" w:hAnsi="標楷體" w:hint="eastAsia"/>
          <w:sz w:val="28"/>
          <w:szCs w:val="28"/>
        </w:rPr>
        <w:t>完成作業提早出港確定空出空檔後，由本處先向下一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艘</w:t>
      </w:r>
      <w:r w:rsidRPr="00143131">
        <w:rPr>
          <w:rFonts w:ascii="標楷體" w:eastAsia="標楷體" w:hAnsi="標楷體" w:hint="eastAsia"/>
          <w:sz w:val="28"/>
          <w:szCs w:val="28"/>
        </w:rPr>
        <w:t>排班船舶</w:t>
      </w:r>
      <w:r w:rsidR="00D64BF3" w:rsidRPr="00143131">
        <w:rPr>
          <w:rFonts w:ascii="標楷體" w:eastAsia="標楷體" w:hAnsi="標楷體" w:hint="eastAsia"/>
          <w:sz w:val="28"/>
          <w:szCs w:val="28"/>
        </w:rPr>
        <w:t>（含當日所有排班船舶）</w:t>
      </w:r>
      <w:r w:rsidRPr="00143131">
        <w:rPr>
          <w:rFonts w:ascii="標楷體" w:eastAsia="標楷體" w:hAnsi="標楷體" w:hint="eastAsia"/>
          <w:sz w:val="28"/>
          <w:szCs w:val="28"/>
        </w:rPr>
        <w:t>通知確認是否提前作業。另通知以兩次電話通知，通知間隔10分鐘，每次鈴響至進入語音信箱或鈴響30秒為原則，並將通知時間紀錄備查，未接獲通知或接獲通知30分鐘內未決定者，視同放棄。</w:t>
      </w:r>
    </w:p>
    <w:p w:rsidR="00332D44" w:rsidRPr="00143131" w:rsidRDefault="006E04C0" w:rsidP="0084251A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(二)其餘船舶之安排以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到港船舶順序為優先提前作業，再以</w:t>
      </w:r>
      <w:r w:rsidRPr="00143131">
        <w:rPr>
          <w:rFonts w:ascii="標楷體" w:eastAsia="標楷體" w:hAnsi="標楷體" w:hint="eastAsia"/>
          <w:sz w:val="28"/>
          <w:szCs w:val="28"/>
        </w:rPr>
        <w:t>「砂石碼頭船席調度動態表」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之</w:t>
      </w:r>
      <w:r w:rsidRPr="00143131">
        <w:rPr>
          <w:rFonts w:ascii="標楷體" w:eastAsia="標楷體" w:hAnsi="標楷體" w:hint="eastAsia"/>
          <w:sz w:val="28"/>
          <w:szCs w:val="28"/>
        </w:rPr>
        <w:t>動態採「先報先預排」為原則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(如第二條)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；倘</w:t>
      </w:r>
      <w:r w:rsidR="0084251A" w:rsidRPr="00143131">
        <w:rPr>
          <w:rFonts w:ascii="標楷體" w:eastAsia="標楷體" w:hAnsi="標楷體" w:hint="eastAsia"/>
          <w:sz w:val="28"/>
          <w:szCs w:val="28"/>
        </w:rPr>
        <w:lastRenderedPageBreak/>
        <w:t>作業中船舶預定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於夜間</w:t>
      </w:r>
      <w:r w:rsidR="00D64BF3" w:rsidRPr="00143131">
        <w:rPr>
          <w:rFonts w:ascii="標楷體" w:eastAsia="標楷體" w:hAnsi="標楷體" w:hint="eastAsia"/>
          <w:sz w:val="28"/>
          <w:szCs w:val="28"/>
        </w:rPr>
        <w:t>、翌日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上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午</w:t>
      </w:r>
      <w:r w:rsidR="0085559E" w:rsidRPr="00143131">
        <w:rPr>
          <w:rFonts w:ascii="標楷體" w:eastAsia="標楷體" w:hAnsi="標楷體" w:hint="eastAsia"/>
          <w:sz w:val="28"/>
          <w:szCs w:val="28"/>
        </w:rPr>
        <w:t>提早出港空出空檔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，申請於當日夜間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或翌日早上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作業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者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，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以下一艘排班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船舶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（含當日所有排班船舶）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為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第一</w:t>
      </w:r>
      <w:r w:rsidR="005D690F" w:rsidRPr="00143131">
        <w:rPr>
          <w:rFonts w:ascii="標楷體" w:eastAsia="標楷體" w:hAnsi="標楷體" w:hint="eastAsia"/>
          <w:sz w:val="28"/>
          <w:szCs w:val="28"/>
        </w:rPr>
        <w:t>優先</w:t>
      </w:r>
      <w:r w:rsidR="00BB019B" w:rsidRPr="00143131">
        <w:rPr>
          <w:rFonts w:ascii="標楷體" w:eastAsia="標楷體" w:hAnsi="標楷體" w:hint="eastAsia"/>
          <w:sz w:val="28"/>
          <w:szCs w:val="28"/>
        </w:rPr>
        <w:t>順位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，</w:t>
      </w:r>
      <w:r w:rsidR="006D44B0" w:rsidRPr="00143131">
        <w:rPr>
          <w:rFonts w:ascii="標楷體" w:eastAsia="標楷體" w:hAnsi="標楷體" w:hint="eastAsia"/>
          <w:sz w:val="28"/>
          <w:szCs w:val="28"/>
        </w:rPr>
        <w:t>到港船舶順序為第二優先順位，再以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電話（時間當日1600以後通話紀錄作為依據</w:t>
      </w:r>
      <w:r w:rsidR="00332D44" w:rsidRPr="00143131">
        <w:rPr>
          <w:rFonts w:ascii="標楷體" w:eastAsia="標楷體" w:hAnsi="標楷體"/>
          <w:sz w:val="28"/>
          <w:szCs w:val="28"/>
        </w:rPr>
        <w:t>）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先報先排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，倘原預定出港船舶未出港，預排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夜間或翌日上午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作業船舶需另安排時段再進港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。</w:t>
      </w:r>
    </w:p>
    <w:p w:rsidR="006D44B0" w:rsidRPr="00143131" w:rsidRDefault="00332D44" w:rsidP="00332D4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(三)預排於A船與B船之間</w:t>
      </w:r>
      <w:r w:rsidR="00BB285A" w:rsidRPr="00143131">
        <w:rPr>
          <w:rFonts w:ascii="標楷體" w:eastAsia="標楷體" w:hAnsi="標楷體" w:hint="eastAsia"/>
          <w:sz w:val="28"/>
          <w:szCs w:val="28"/>
        </w:rPr>
        <w:t>空檔</w:t>
      </w:r>
      <w:r w:rsidR="00AA56BF" w:rsidRPr="00143131">
        <w:rPr>
          <w:rFonts w:ascii="標楷體" w:eastAsia="標楷體" w:hAnsi="標楷體" w:hint="eastAsia"/>
          <w:sz w:val="28"/>
          <w:szCs w:val="28"/>
        </w:rPr>
        <w:t>（同一日）</w:t>
      </w:r>
      <w:r w:rsidRPr="00143131">
        <w:rPr>
          <w:rFonts w:ascii="標楷體" w:eastAsia="標楷體" w:hAnsi="標楷體" w:hint="eastAsia"/>
          <w:sz w:val="28"/>
          <w:szCs w:val="28"/>
        </w:rPr>
        <w:t>，由本處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先</w:t>
      </w:r>
      <w:r w:rsidRPr="00143131">
        <w:rPr>
          <w:rFonts w:ascii="標楷體" w:eastAsia="標楷體" w:hAnsi="標楷體" w:hint="eastAsia"/>
          <w:sz w:val="28"/>
          <w:szCs w:val="28"/>
        </w:rPr>
        <w:t>詢問B船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是否</w:t>
      </w:r>
    </w:p>
    <w:p w:rsidR="00332D44" w:rsidRPr="00143131" w:rsidRDefault="006D44B0" w:rsidP="00332D4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32D44" w:rsidRPr="00143131">
        <w:rPr>
          <w:rFonts w:ascii="標楷體" w:eastAsia="標楷體" w:hAnsi="標楷體" w:hint="eastAsia"/>
          <w:sz w:val="28"/>
          <w:szCs w:val="28"/>
        </w:rPr>
        <w:t>提前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，如不提前且不影響B船進港作業</w:t>
      </w:r>
      <w:r w:rsidR="00882A30" w:rsidRPr="00143131">
        <w:rPr>
          <w:rFonts w:ascii="標楷體" w:eastAsia="標楷體" w:hAnsi="標楷體" w:hint="eastAsia"/>
          <w:sz w:val="28"/>
          <w:szCs w:val="28"/>
        </w:rPr>
        <w:t>始</w:t>
      </w:r>
      <w:r w:rsidR="00230856" w:rsidRPr="00143131">
        <w:rPr>
          <w:rFonts w:ascii="標楷體" w:eastAsia="標楷體" w:hAnsi="標楷體" w:hint="eastAsia"/>
          <w:sz w:val="28"/>
          <w:szCs w:val="28"/>
        </w:rPr>
        <w:t>可預排。</w:t>
      </w:r>
    </w:p>
    <w:p w:rsidR="00863B5C" w:rsidRPr="00143131" w:rsidRDefault="00863B5C" w:rsidP="00F67BA5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sz w:val="28"/>
          <w:szCs w:val="28"/>
        </w:rPr>
        <w:t>十</w:t>
      </w:r>
      <w:r w:rsidR="0084251A" w:rsidRPr="00143131">
        <w:rPr>
          <w:rFonts w:ascii="標楷體" w:eastAsia="標楷體" w:hAnsi="標楷體" w:hint="eastAsia"/>
          <w:sz w:val="28"/>
          <w:szCs w:val="28"/>
        </w:rPr>
        <w:t>二</w:t>
      </w:r>
      <w:r w:rsidRPr="00143131">
        <w:rPr>
          <w:rFonts w:ascii="標楷體" w:eastAsia="標楷體" w:hAnsi="標楷體" w:hint="eastAsia"/>
          <w:sz w:val="28"/>
          <w:szCs w:val="28"/>
        </w:rPr>
        <w:t>、本處調度協調船舶船席等相關事宜，以各船舶(代理)業者為原則，故船舶(代理)業者應提供聯繫資料，倘有異動亦應主動聯繫本處調度更新，俾利協調聯繫。</w:t>
      </w:r>
    </w:p>
    <w:p w:rsidR="00424197" w:rsidRPr="00143131" w:rsidRDefault="00F67BA5" w:rsidP="00863B5C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143131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84251A" w:rsidRPr="00143131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143131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864848" w:rsidRPr="00143131">
        <w:rPr>
          <w:rFonts w:ascii="標楷體" w:eastAsia="標楷體" w:hAnsi="標楷體" w:hint="eastAsia"/>
          <w:kern w:val="0"/>
          <w:sz w:val="28"/>
          <w:szCs w:val="28"/>
        </w:rPr>
        <w:t>本處</w:t>
      </w:r>
      <w:r w:rsidR="00864848" w:rsidRPr="00143131">
        <w:rPr>
          <w:rFonts w:ascii="標楷體" w:eastAsia="標楷體" w:hAnsi="標楷體"/>
          <w:kern w:val="0"/>
          <w:sz w:val="28"/>
          <w:szCs w:val="28"/>
        </w:rPr>
        <w:t>(</w:t>
      </w:r>
      <w:r w:rsidR="00864848" w:rsidRPr="00143131">
        <w:rPr>
          <w:rFonts w:ascii="標楷體" w:eastAsia="標楷體" w:hAnsi="標楷體" w:hint="eastAsia"/>
          <w:kern w:val="0"/>
          <w:sz w:val="28"/>
          <w:szCs w:val="28"/>
        </w:rPr>
        <w:t>港航課</w:t>
      </w:r>
      <w:r w:rsidR="00864848" w:rsidRPr="00143131">
        <w:rPr>
          <w:rFonts w:ascii="標楷體" w:eastAsia="標楷體" w:hAnsi="標楷體"/>
          <w:kern w:val="0"/>
          <w:sz w:val="28"/>
          <w:szCs w:val="28"/>
        </w:rPr>
        <w:t>)</w:t>
      </w:r>
      <w:r w:rsidR="00F2669D" w:rsidRPr="00143131">
        <w:rPr>
          <w:rFonts w:ascii="標楷體" w:eastAsia="標楷體" w:hAnsi="標楷體" w:hint="eastAsia"/>
          <w:sz w:val="28"/>
          <w:szCs w:val="28"/>
        </w:rPr>
        <w:t>砂石船預報連絡窗口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，</w:t>
      </w:r>
      <w:r w:rsidR="00F2669D" w:rsidRPr="00143131">
        <w:rPr>
          <w:rFonts w:ascii="標楷體" w:eastAsia="標楷體" w:hAnsi="標楷體" w:hint="eastAsia"/>
          <w:sz w:val="28"/>
          <w:szCs w:val="28"/>
        </w:rPr>
        <w:t>料羅調度</w:t>
      </w:r>
      <w:r w:rsidR="00863B5C" w:rsidRPr="00143131">
        <w:rPr>
          <w:rFonts w:ascii="標楷體" w:eastAsia="標楷體" w:hAnsi="標楷體" w:hint="eastAsia"/>
          <w:sz w:val="28"/>
          <w:szCs w:val="28"/>
        </w:rPr>
        <w:t>：</w:t>
      </w:r>
      <w:r w:rsidR="00424197" w:rsidRPr="00143131">
        <w:rPr>
          <w:rFonts w:ascii="標楷體" w:eastAsia="標楷體" w:hAnsi="標楷體" w:hint="eastAsia"/>
          <w:sz w:val="28"/>
          <w:szCs w:val="28"/>
        </w:rPr>
        <w:t>(082)332268轉68092、(082)337652、0978053708。</w:t>
      </w:r>
    </w:p>
    <w:sectPr w:rsidR="00424197" w:rsidRPr="00143131" w:rsidSect="00AA6948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0D" w:rsidRDefault="00A8590D" w:rsidP="00073BC9">
      <w:r>
        <w:separator/>
      </w:r>
    </w:p>
  </w:endnote>
  <w:endnote w:type="continuationSeparator" w:id="0">
    <w:p w:rsidR="00A8590D" w:rsidRDefault="00A8590D" w:rsidP="000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0D" w:rsidRDefault="00A8590D" w:rsidP="00073BC9">
      <w:r>
        <w:separator/>
      </w:r>
    </w:p>
  </w:footnote>
  <w:footnote w:type="continuationSeparator" w:id="0">
    <w:p w:rsidR="00A8590D" w:rsidRDefault="00A8590D" w:rsidP="0007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BFF"/>
    <w:multiLevelType w:val="hybridMultilevel"/>
    <w:tmpl w:val="D9D68BC4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2A06E78">
      <w:start w:val="1"/>
      <w:numFmt w:val="decimal"/>
      <w:lvlText w:val="(%4)"/>
      <w:lvlJc w:val="left"/>
      <w:pPr>
        <w:ind w:left="2160" w:hanging="720"/>
      </w:pPr>
      <w:rPr>
        <w:rFonts w:hint="default"/>
        <w:color w:val="00206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706C5DCA">
      <w:start w:val="1"/>
      <w:numFmt w:val="decimal"/>
      <w:lvlText w:val="(%6)"/>
      <w:lvlJc w:val="left"/>
      <w:pPr>
        <w:ind w:left="276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C2581D"/>
    <w:multiLevelType w:val="hybridMultilevel"/>
    <w:tmpl w:val="9998CD86"/>
    <w:lvl w:ilvl="0" w:tplc="96B058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33212"/>
    <w:multiLevelType w:val="hybridMultilevel"/>
    <w:tmpl w:val="15548CCE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E7A9304">
      <w:start w:val="1"/>
      <w:numFmt w:val="taiwaneseCountingThousand"/>
      <w:lvlText w:val="(%4)"/>
      <w:lvlJc w:val="left"/>
      <w:pPr>
        <w:ind w:left="26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2ED41B0"/>
    <w:multiLevelType w:val="hybridMultilevel"/>
    <w:tmpl w:val="7826E838"/>
    <w:lvl w:ilvl="0" w:tplc="73EE0F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6A8DE">
      <w:start w:val="525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A2E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35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749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AAF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EAE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EF9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E83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925927"/>
    <w:multiLevelType w:val="hybridMultilevel"/>
    <w:tmpl w:val="D608B372"/>
    <w:lvl w:ilvl="0" w:tplc="B3C2A5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8744700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E5306"/>
    <w:multiLevelType w:val="hybridMultilevel"/>
    <w:tmpl w:val="BAFCF4E6"/>
    <w:lvl w:ilvl="0" w:tplc="76A06CAE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2B94BC6"/>
    <w:multiLevelType w:val="hybridMultilevel"/>
    <w:tmpl w:val="5BFE7136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B60F2"/>
    <w:multiLevelType w:val="hybridMultilevel"/>
    <w:tmpl w:val="6FA8162C"/>
    <w:lvl w:ilvl="0" w:tplc="08609B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A806E2A"/>
    <w:multiLevelType w:val="hybridMultilevel"/>
    <w:tmpl w:val="A8CACF46"/>
    <w:lvl w:ilvl="0" w:tplc="DB04EB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1A5C02"/>
    <w:multiLevelType w:val="hybridMultilevel"/>
    <w:tmpl w:val="6C324886"/>
    <w:lvl w:ilvl="0" w:tplc="C9A2DBEC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1A05A6B"/>
    <w:multiLevelType w:val="hybridMultilevel"/>
    <w:tmpl w:val="FB267A42"/>
    <w:lvl w:ilvl="0" w:tplc="864207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204447A"/>
    <w:multiLevelType w:val="hybridMultilevel"/>
    <w:tmpl w:val="03F2D8DA"/>
    <w:lvl w:ilvl="0" w:tplc="5B02F344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80658A0"/>
    <w:multiLevelType w:val="hybridMultilevel"/>
    <w:tmpl w:val="54AE21F0"/>
    <w:lvl w:ilvl="0" w:tplc="EB70AD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2"/>
    <w:rsid w:val="00001394"/>
    <w:rsid w:val="0000359D"/>
    <w:rsid w:val="000176EE"/>
    <w:rsid w:val="00032FB2"/>
    <w:rsid w:val="000464F5"/>
    <w:rsid w:val="000467C7"/>
    <w:rsid w:val="00054BB5"/>
    <w:rsid w:val="00060D07"/>
    <w:rsid w:val="00065996"/>
    <w:rsid w:val="00073BC9"/>
    <w:rsid w:val="00082709"/>
    <w:rsid w:val="00084E39"/>
    <w:rsid w:val="000948A3"/>
    <w:rsid w:val="00094BA9"/>
    <w:rsid w:val="000A7F14"/>
    <w:rsid w:val="000D6D23"/>
    <w:rsid w:val="000F387E"/>
    <w:rsid w:val="000F411F"/>
    <w:rsid w:val="001275FC"/>
    <w:rsid w:val="0013788A"/>
    <w:rsid w:val="00140D39"/>
    <w:rsid w:val="00143131"/>
    <w:rsid w:val="0015237A"/>
    <w:rsid w:val="00154045"/>
    <w:rsid w:val="001663EE"/>
    <w:rsid w:val="00183E18"/>
    <w:rsid w:val="00183E40"/>
    <w:rsid w:val="001A5095"/>
    <w:rsid w:val="001D12F6"/>
    <w:rsid w:val="001D56E0"/>
    <w:rsid w:val="001D74BD"/>
    <w:rsid w:val="001E1666"/>
    <w:rsid w:val="001E6145"/>
    <w:rsid w:val="001F6ECE"/>
    <w:rsid w:val="002058F8"/>
    <w:rsid w:val="00213587"/>
    <w:rsid w:val="00221415"/>
    <w:rsid w:val="00230856"/>
    <w:rsid w:val="002312AC"/>
    <w:rsid w:val="00232025"/>
    <w:rsid w:val="0024385F"/>
    <w:rsid w:val="0025238D"/>
    <w:rsid w:val="00281B8B"/>
    <w:rsid w:val="00293A9B"/>
    <w:rsid w:val="00295134"/>
    <w:rsid w:val="002B282E"/>
    <w:rsid w:val="002E3A02"/>
    <w:rsid w:val="002F3BEF"/>
    <w:rsid w:val="002F60BF"/>
    <w:rsid w:val="0031284B"/>
    <w:rsid w:val="00317C80"/>
    <w:rsid w:val="00323DF6"/>
    <w:rsid w:val="00332D44"/>
    <w:rsid w:val="003367A6"/>
    <w:rsid w:val="003447F1"/>
    <w:rsid w:val="003521C0"/>
    <w:rsid w:val="00354D63"/>
    <w:rsid w:val="00361CCF"/>
    <w:rsid w:val="003A6B19"/>
    <w:rsid w:val="003A7B8A"/>
    <w:rsid w:val="003B1807"/>
    <w:rsid w:val="003E736D"/>
    <w:rsid w:val="003F4C7A"/>
    <w:rsid w:val="003F58B9"/>
    <w:rsid w:val="004018D8"/>
    <w:rsid w:val="00405C5A"/>
    <w:rsid w:val="00407948"/>
    <w:rsid w:val="00410663"/>
    <w:rsid w:val="00411ABE"/>
    <w:rsid w:val="004204AA"/>
    <w:rsid w:val="00424197"/>
    <w:rsid w:val="00425230"/>
    <w:rsid w:val="00460613"/>
    <w:rsid w:val="004611C4"/>
    <w:rsid w:val="004731BD"/>
    <w:rsid w:val="00486599"/>
    <w:rsid w:val="004A4A97"/>
    <w:rsid w:val="004B330F"/>
    <w:rsid w:val="004E1E4E"/>
    <w:rsid w:val="00524EA1"/>
    <w:rsid w:val="00540CDC"/>
    <w:rsid w:val="005427A2"/>
    <w:rsid w:val="005526B9"/>
    <w:rsid w:val="005754E7"/>
    <w:rsid w:val="005B2998"/>
    <w:rsid w:val="005C375B"/>
    <w:rsid w:val="005D690F"/>
    <w:rsid w:val="005E3EEB"/>
    <w:rsid w:val="005F3E92"/>
    <w:rsid w:val="006002BE"/>
    <w:rsid w:val="0061534D"/>
    <w:rsid w:val="0062034E"/>
    <w:rsid w:val="006217FC"/>
    <w:rsid w:val="00633C70"/>
    <w:rsid w:val="0063718A"/>
    <w:rsid w:val="006411CB"/>
    <w:rsid w:val="0065314D"/>
    <w:rsid w:val="006B6F40"/>
    <w:rsid w:val="006D44B0"/>
    <w:rsid w:val="006D4924"/>
    <w:rsid w:val="006D67B3"/>
    <w:rsid w:val="006D7C2E"/>
    <w:rsid w:val="006E04C0"/>
    <w:rsid w:val="006F36F2"/>
    <w:rsid w:val="00701D4C"/>
    <w:rsid w:val="007257B5"/>
    <w:rsid w:val="00754996"/>
    <w:rsid w:val="007919F7"/>
    <w:rsid w:val="00795200"/>
    <w:rsid w:val="007B41CD"/>
    <w:rsid w:val="007C3AA5"/>
    <w:rsid w:val="007D3C58"/>
    <w:rsid w:val="007D4DA6"/>
    <w:rsid w:val="007F6D8A"/>
    <w:rsid w:val="0080511F"/>
    <w:rsid w:val="0081170A"/>
    <w:rsid w:val="008203E3"/>
    <w:rsid w:val="00830814"/>
    <w:rsid w:val="0084251A"/>
    <w:rsid w:val="0085559E"/>
    <w:rsid w:val="00863B5C"/>
    <w:rsid w:val="00864848"/>
    <w:rsid w:val="00882A30"/>
    <w:rsid w:val="008A6B6C"/>
    <w:rsid w:val="008B5E50"/>
    <w:rsid w:val="008D066E"/>
    <w:rsid w:val="008D2B0E"/>
    <w:rsid w:val="008D5726"/>
    <w:rsid w:val="008D64E6"/>
    <w:rsid w:val="008F3B83"/>
    <w:rsid w:val="0090395F"/>
    <w:rsid w:val="0091452F"/>
    <w:rsid w:val="00922EFA"/>
    <w:rsid w:val="00937B0A"/>
    <w:rsid w:val="00942927"/>
    <w:rsid w:val="0096730C"/>
    <w:rsid w:val="009735F7"/>
    <w:rsid w:val="0099745E"/>
    <w:rsid w:val="009A09ED"/>
    <w:rsid w:val="009A632C"/>
    <w:rsid w:val="009B7DE6"/>
    <w:rsid w:val="009C3454"/>
    <w:rsid w:val="009C36F7"/>
    <w:rsid w:val="009D68B4"/>
    <w:rsid w:val="009E2CB9"/>
    <w:rsid w:val="009E6C9F"/>
    <w:rsid w:val="00A06C59"/>
    <w:rsid w:val="00A15F49"/>
    <w:rsid w:val="00A60593"/>
    <w:rsid w:val="00A64FC6"/>
    <w:rsid w:val="00A857B2"/>
    <w:rsid w:val="00A8590D"/>
    <w:rsid w:val="00AA5481"/>
    <w:rsid w:val="00AA56BF"/>
    <w:rsid w:val="00AA684A"/>
    <w:rsid w:val="00AA6948"/>
    <w:rsid w:val="00AB185A"/>
    <w:rsid w:val="00AC3B46"/>
    <w:rsid w:val="00AF26F6"/>
    <w:rsid w:val="00B027B1"/>
    <w:rsid w:val="00B03820"/>
    <w:rsid w:val="00B03F5E"/>
    <w:rsid w:val="00B04CE0"/>
    <w:rsid w:val="00B06F97"/>
    <w:rsid w:val="00B14A6A"/>
    <w:rsid w:val="00B91941"/>
    <w:rsid w:val="00B951F6"/>
    <w:rsid w:val="00B95854"/>
    <w:rsid w:val="00BA324A"/>
    <w:rsid w:val="00BA760B"/>
    <w:rsid w:val="00BB019B"/>
    <w:rsid w:val="00BB285A"/>
    <w:rsid w:val="00BC0869"/>
    <w:rsid w:val="00BC17CB"/>
    <w:rsid w:val="00BD3450"/>
    <w:rsid w:val="00BF3021"/>
    <w:rsid w:val="00C0727A"/>
    <w:rsid w:val="00C1224F"/>
    <w:rsid w:val="00C1717E"/>
    <w:rsid w:val="00C206F9"/>
    <w:rsid w:val="00C23F53"/>
    <w:rsid w:val="00C40C17"/>
    <w:rsid w:val="00C519FD"/>
    <w:rsid w:val="00C6289A"/>
    <w:rsid w:val="00C65A2D"/>
    <w:rsid w:val="00C66F8E"/>
    <w:rsid w:val="00C70D47"/>
    <w:rsid w:val="00C802BD"/>
    <w:rsid w:val="00C96DAE"/>
    <w:rsid w:val="00CC0037"/>
    <w:rsid w:val="00CE09B1"/>
    <w:rsid w:val="00D07C08"/>
    <w:rsid w:val="00D10559"/>
    <w:rsid w:val="00D36F13"/>
    <w:rsid w:val="00D42A20"/>
    <w:rsid w:val="00D629FE"/>
    <w:rsid w:val="00D63755"/>
    <w:rsid w:val="00D64BF3"/>
    <w:rsid w:val="00D72CD2"/>
    <w:rsid w:val="00D93578"/>
    <w:rsid w:val="00D93CE2"/>
    <w:rsid w:val="00DD0ED4"/>
    <w:rsid w:val="00DE46A9"/>
    <w:rsid w:val="00DE6E42"/>
    <w:rsid w:val="00E30B6C"/>
    <w:rsid w:val="00E532BC"/>
    <w:rsid w:val="00E65A76"/>
    <w:rsid w:val="00E67C1E"/>
    <w:rsid w:val="00E7767B"/>
    <w:rsid w:val="00E864D3"/>
    <w:rsid w:val="00E9006E"/>
    <w:rsid w:val="00E9311E"/>
    <w:rsid w:val="00EA741B"/>
    <w:rsid w:val="00EB14EE"/>
    <w:rsid w:val="00EB6346"/>
    <w:rsid w:val="00EB6904"/>
    <w:rsid w:val="00EC50E4"/>
    <w:rsid w:val="00F1138A"/>
    <w:rsid w:val="00F17583"/>
    <w:rsid w:val="00F245D8"/>
    <w:rsid w:val="00F2669D"/>
    <w:rsid w:val="00F31F19"/>
    <w:rsid w:val="00F3763D"/>
    <w:rsid w:val="00F47026"/>
    <w:rsid w:val="00F47D0C"/>
    <w:rsid w:val="00F567FD"/>
    <w:rsid w:val="00F67BA5"/>
    <w:rsid w:val="00F75AD0"/>
    <w:rsid w:val="00F859B0"/>
    <w:rsid w:val="00FD7C93"/>
    <w:rsid w:val="00FE31D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6BA23-D297-420A-9C28-00C28CD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2"/>
    <w:pPr>
      <w:ind w:leftChars="200" w:left="480"/>
    </w:pPr>
  </w:style>
  <w:style w:type="paragraph" w:styleId="a4">
    <w:name w:val="header"/>
    <w:basedOn w:val="a"/>
    <w:link w:val="a5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B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13788A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3788A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834F-1F0F-4566-9E06-476E2BC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2019-05-15T00:14:00Z</cp:lastPrinted>
  <dcterms:created xsi:type="dcterms:W3CDTF">2022-01-06T01:34:00Z</dcterms:created>
  <dcterms:modified xsi:type="dcterms:W3CDTF">2022-02-14T01:17:00Z</dcterms:modified>
</cp:coreProperties>
</file>