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19" w:rsidRPr="006B3F19" w:rsidRDefault="006B3F19" w:rsidP="006B3F19">
      <w:pPr>
        <w:jc w:val="center"/>
        <w:rPr>
          <w:rFonts w:ascii="Times New Roman" w:eastAsia="新細明體" w:hAnsi="Times New Roman" w:cs="Times New Roman"/>
          <w:sz w:val="36"/>
          <w:szCs w:val="36"/>
        </w:rPr>
      </w:pPr>
      <w:r w:rsidRPr="006B3F19">
        <w:rPr>
          <w:rFonts w:ascii="標楷體" w:eastAsia="標楷體" w:hAnsi="標楷體" w:cs="Times New Roman" w:hint="eastAsia"/>
          <w:b/>
          <w:bCs/>
          <w:sz w:val="36"/>
          <w:szCs w:val="36"/>
        </w:rPr>
        <w:t>金門縣政府及所屬機關各單位</w:t>
      </w:r>
      <w:r w:rsidRPr="006B3F19">
        <w:rPr>
          <w:rFonts w:ascii="Times New Roman" w:eastAsia="標楷體" w:hAnsi="Times New Roman" w:cs="Times New Roman" w:hint="eastAsia"/>
          <w:b/>
          <w:bCs/>
          <w:sz w:val="36"/>
          <w:szCs w:val="36"/>
        </w:rPr>
        <w:t>內部保有及管理個人資料之項目彙整表</w:t>
      </w:r>
    </w:p>
    <w:p w:rsidR="006B3F19" w:rsidRPr="006B3F19" w:rsidRDefault="006B3F19" w:rsidP="006B3F19">
      <w:pPr>
        <w:rPr>
          <w:rFonts w:ascii="標楷體" w:eastAsia="標楷體" w:hAnsi="標楷體" w:cs="Times New Roman"/>
          <w:color w:val="660033"/>
          <w:szCs w:val="24"/>
        </w:rPr>
        <w:sectPr w:rsidR="006B3F19" w:rsidRPr="006B3F19" w:rsidSect="00EB585A">
          <w:pgSz w:w="11906" w:h="16838"/>
          <w:pgMar w:top="1440" w:right="1800" w:bottom="899" w:left="1800" w:header="851" w:footer="992" w:gutter="0"/>
          <w:cols w:space="425"/>
          <w:docGrid w:type="lines" w:linePitch="360"/>
        </w:sectPr>
      </w:pPr>
      <w:proofErr w:type="gramStart"/>
      <w:r w:rsidRPr="006B3F19">
        <w:rPr>
          <w:rFonts w:ascii="標楷體" w:eastAsia="標楷體" w:hAnsi="標楷體" w:cs="Times New Roman" w:hint="eastAsia"/>
          <w:color w:val="660033"/>
          <w:szCs w:val="24"/>
        </w:rPr>
        <w:t>（</w:t>
      </w:r>
      <w:proofErr w:type="gramEnd"/>
      <w:r w:rsidRPr="006B3F19">
        <w:rPr>
          <w:rFonts w:ascii="標楷體" w:eastAsia="標楷體" w:hAnsi="標楷體" w:cs="Times New Roman" w:hint="eastAsia"/>
          <w:color w:val="660033"/>
          <w:szCs w:val="24"/>
        </w:rPr>
        <w:t>一至四：為新修正個資法第</w:t>
      </w:r>
      <w:r w:rsidRPr="006B3F19">
        <w:rPr>
          <w:rFonts w:ascii="標楷體" w:eastAsia="標楷體" w:hAnsi="標楷體" w:cs="Times New Roman"/>
          <w:color w:val="660033"/>
          <w:szCs w:val="24"/>
        </w:rPr>
        <w:t>17</w:t>
      </w:r>
      <w:r w:rsidRPr="006B3F19">
        <w:rPr>
          <w:rFonts w:ascii="標楷體" w:eastAsia="標楷體" w:hAnsi="標楷體" w:cs="Times New Roman" w:hint="eastAsia"/>
          <w:color w:val="660033"/>
          <w:szCs w:val="24"/>
        </w:rPr>
        <w:t>條規定應公開項目；五至八：為本府為瞭解府內各單位持有個人資料內容及有何督導管理之非公務機關，所外加調查之項目</w:t>
      </w:r>
      <w:proofErr w:type="gramStart"/>
      <w:r w:rsidRPr="006B3F19">
        <w:rPr>
          <w:rFonts w:ascii="標楷體" w:eastAsia="標楷體" w:hAnsi="標楷體" w:cs="Times New Roman" w:hint="eastAsia"/>
          <w:color w:val="660033"/>
          <w:szCs w:val="24"/>
        </w:rPr>
        <w:t>）</w:t>
      </w:r>
      <w:proofErr w:type="gramEnd"/>
    </w:p>
    <w:p w:rsidR="006B3F19" w:rsidRPr="006B3F19" w:rsidRDefault="006B3F19" w:rsidP="006B3F19">
      <w:pPr>
        <w:rPr>
          <w:rFonts w:ascii="Times New Roman" w:eastAsia="新細明體" w:hAnsi="Times New Roman" w:cs="Times New Roman"/>
          <w:szCs w:val="24"/>
        </w:rPr>
        <w:sectPr w:rsidR="006B3F19" w:rsidRPr="006B3F19" w:rsidSect="001A2023">
          <w:type w:val="continuous"/>
          <w:pgSz w:w="11906" w:h="16838"/>
          <w:pgMar w:top="1440" w:right="1800" w:bottom="899" w:left="1800" w:header="851" w:footer="992" w:gutter="0"/>
          <w:cols w:space="425"/>
          <w:docGrid w:type="lines"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1080"/>
        <w:gridCol w:w="1260"/>
        <w:gridCol w:w="900"/>
        <w:gridCol w:w="733"/>
        <w:gridCol w:w="1427"/>
        <w:gridCol w:w="1080"/>
        <w:gridCol w:w="1440"/>
        <w:gridCol w:w="1453"/>
      </w:tblGrid>
      <w:tr w:rsidR="006B3F19" w:rsidRPr="006B3F19" w:rsidTr="007919C2">
        <w:tblPrEx>
          <w:tblCellMar>
            <w:top w:w="0" w:type="dxa"/>
            <w:bottom w:w="0" w:type="dxa"/>
          </w:tblCellMar>
        </w:tblPrEx>
        <w:trPr>
          <w:trHeight w:val="861"/>
          <w:tblHeader/>
          <w:jc w:val="center"/>
        </w:trPr>
        <w:tc>
          <w:tcPr>
            <w:tcW w:w="707" w:type="dxa"/>
            <w:tcBorders>
              <w:tl2br w:val="single" w:sz="4" w:space="0" w:color="auto"/>
            </w:tcBorders>
          </w:tcPr>
          <w:p w:rsidR="006B3F19" w:rsidRPr="006B3F19" w:rsidRDefault="006B3F19" w:rsidP="006B3F19">
            <w:pPr>
              <w:ind w:firstLineChars="100" w:firstLine="240"/>
              <w:rPr>
                <w:rFonts w:ascii="Times New Roman" w:eastAsia="新細明體" w:hAnsi="Times New Roman" w:cs="Times New Roman"/>
                <w:szCs w:val="24"/>
              </w:rPr>
            </w:pPr>
            <w:r w:rsidRPr="006B3F19">
              <w:rPr>
                <w:rFonts w:ascii="Times New Roman" w:eastAsia="新細明體" w:hAnsi="Times New Roman" w:cs="Times New Roman" w:hint="eastAsia"/>
                <w:szCs w:val="24"/>
              </w:rPr>
              <w:lastRenderedPageBreak/>
              <w:t>項目</w:t>
            </w:r>
            <w:r w:rsidRPr="006B3F19">
              <w:rPr>
                <w:rFonts w:ascii="Times New Roman" w:eastAsia="新細明體" w:hAnsi="Times New Roman" w:cs="Times New Roman"/>
                <w:szCs w:val="24"/>
                <w:vertAlign w:val="superscript"/>
              </w:rPr>
              <w:endnoteReference w:id="1"/>
            </w:r>
          </w:p>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單</w:t>
            </w:r>
          </w:p>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位</w:t>
            </w:r>
          </w:p>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名</w:t>
            </w:r>
          </w:p>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稱</w:t>
            </w:r>
          </w:p>
        </w:tc>
        <w:tc>
          <w:tcPr>
            <w:tcW w:w="1080"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一、</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個人資料檔案名稱</w:t>
            </w:r>
            <w:r w:rsidRPr="006B3F19">
              <w:rPr>
                <w:rFonts w:ascii="Times New Roman" w:eastAsia="新細明體" w:hAnsi="Times New Roman" w:cs="Times New Roman"/>
                <w:b/>
                <w:szCs w:val="24"/>
                <w:vertAlign w:val="superscript"/>
              </w:rPr>
              <w:endnoteReference w:id="2"/>
            </w:r>
          </w:p>
        </w:tc>
        <w:tc>
          <w:tcPr>
            <w:tcW w:w="1260"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二、</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法律</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依據</w:t>
            </w:r>
            <w:r w:rsidRPr="006B3F19">
              <w:rPr>
                <w:rFonts w:ascii="Times New Roman" w:eastAsia="新細明體" w:hAnsi="Times New Roman" w:cs="Times New Roman"/>
                <w:b/>
                <w:szCs w:val="24"/>
                <w:vertAlign w:val="superscript"/>
              </w:rPr>
              <w:endnoteReference w:id="3"/>
            </w:r>
          </w:p>
        </w:tc>
        <w:tc>
          <w:tcPr>
            <w:tcW w:w="900"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三、</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特定目的</w:t>
            </w:r>
            <w:r w:rsidRPr="006B3F19">
              <w:rPr>
                <w:rFonts w:ascii="Times New Roman" w:eastAsia="新細明體" w:hAnsi="Times New Roman" w:cs="Times New Roman"/>
                <w:b/>
                <w:szCs w:val="24"/>
                <w:vertAlign w:val="superscript"/>
              </w:rPr>
              <w:endnoteReference w:id="4"/>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四、</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個人資料類別</w:t>
            </w:r>
            <w:r w:rsidRPr="006B3F19">
              <w:rPr>
                <w:rFonts w:ascii="Times New Roman" w:eastAsia="新細明體" w:hAnsi="Times New Roman" w:cs="Times New Roman"/>
                <w:b/>
                <w:szCs w:val="24"/>
                <w:vertAlign w:val="superscript"/>
              </w:rPr>
              <w:endnoteReference w:id="5"/>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五、</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個人資料之範圍</w:t>
            </w:r>
            <w:r w:rsidRPr="006B3F19">
              <w:rPr>
                <w:rFonts w:ascii="Times New Roman" w:eastAsia="新細明體" w:hAnsi="Times New Roman" w:cs="Times New Roman"/>
                <w:b/>
                <w:szCs w:val="24"/>
                <w:vertAlign w:val="superscript"/>
              </w:rPr>
              <w:endnoteReference w:id="6"/>
            </w:r>
          </w:p>
        </w:tc>
        <w:tc>
          <w:tcPr>
            <w:tcW w:w="1080"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六、</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有否特種資料</w:t>
            </w:r>
            <w:r w:rsidRPr="006B3F19">
              <w:rPr>
                <w:rFonts w:ascii="Times New Roman" w:eastAsia="新細明體" w:hAnsi="Times New Roman" w:cs="Times New Roman"/>
                <w:b/>
                <w:szCs w:val="24"/>
                <w:vertAlign w:val="superscript"/>
              </w:rPr>
              <w:endnoteReference w:id="7"/>
            </w:r>
            <w:r w:rsidRPr="006B3F19">
              <w:rPr>
                <w:rFonts w:ascii="Times New Roman" w:eastAsia="新細明體" w:hAnsi="Times New Roman" w:cs="Times New Roman" w:hint="eastAsia"/>
                <w:b/>
                <w:szCs w:val="24"/>
              </w:rPr>
              <w:t>？何種特種資料？</w:t>
            </w:r>
          </w:p>
        </w:tc>
        <w:tc>
          <w:tcPr>
            <w:tcW w:w="1440"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七、</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有無監督管理之非公務機關及其名稱</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（現行法）</w:t>
            </w:r>
            <w:r w:rsidRPr="006B3F19">
              <w:rPr>
                <w:rFonts w:ascii="Times New Roman" w:eastAsia="新細明體" w:hAnsi="Times New Roman" w:cs="Times New Roman"/>
                <w:b/>
                <w:szCs w:val="24"/>
                <w:vertAlign w:val="superscript"/>
              </w:rPr>
              <w:endnoteReference w:id="8"/>
            </w:r>
          </w:p>
        </w:tc>
        <w:tc>
          <w:tcPr>
            <w:tcW w:w="1453" w:type="dxa"/>
          </w:tcPr>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八、</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有無監督管理之非公務機關及其名稱</w:t>
            </w:r>
          </w:p>
          <w:p w:rsidR="006B3F19" w:rsidRPr="006B3F19" w:rsidRDefault="006B3F19" w:rsidP="006B3F19">
            <w:pPr>
              <w:rPr>
                <w:rFonts w:ascii="Times New Roman" w:eastAsia="新細明體" w:hAnsi="Times New Roman" w:cs="Times New Roman"/>
                <w:b/>
                <w:szCs w:val="24"/>
              </w:rPr>
            </w:pPr>
            <w:r w:rsidRPr="006B3F19">
              <w:rPr>
                <w:rFonts w:ascii="Times New Roman" w:eastAsia="新細明體" w:hAnsi="Times New Roman" w:cs="Times New Roman" w:hint="eastAsia"/>
                <w:b/>
                <w:szCs w:val="24"/>
              </w:rPr>
              <w:t>（修正條文）</w:t>
            </w:r>
          </w:p>
        </w:tc>
      </w:tr>
      <w:tr w:rsidR="006B3F19" w:rsidRPr="006B3F19" w:rsidTr="007919C2">
        <w:tblPrEx>
          <w:tblCellMar>
            <w:top w:w="0" w:type="dxa"/>
            <w:bottom w:w="0" w:type="dxa"/>
          </w:tblCellMar>
        </w:tblPrEx>
        <w:trPr>
          <w:trHeight w:val="861"/>
          <w:jc w:val="center"/>
        </w:trPr>
        <w:tc>
          <w:tcPr>
            <w:tcW w:w="707" w:type="dxa"/>
            <w:vMerge w:val="restart"/>
          </w:tcPr>
          <w:p w:rsidR="006B3F19" w:rsidRPr="006B3F19" w:rsidRDefault="006B3F19" w:rsidP="006B3F19">
            <w:pPr>
              <w:rPr>
                <w:rFonts w:ascii="Times New Roman" w:eastAsia="新細明體" w:hAnsi="Times New Roman" w:cs="Times New Roman"/>
                <w:b/>
                <w:sz w:val="28"/>
                <w:szCs w:val="28"/>
              </w:rPr>
            </w:pPr>
            <w:r w:rsidRPr="006B3F19">
              <w:rPr>
                <w:rFonts w:ascii="Times New Roman" w:eastAsia="新細明體" w:hAnsi="Times New Roman" w:cs="Times New Roman" w:hint="eastAsia"/>
                <w:b/>
                <w:sz w:val="28"/>
                <w:szCs w:val="28"/>
              </w:rPr>
              <w:t>金門縣動植物防疫所</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動物疾病監測管理資訊系統</w:t>
            </w:r>
          </w:p>
        </w:tc>
        <w:tc>
          <w:tcPr>
            <w:tcW w:w="126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動物傳染病防治條例第十二條</w:t>
            </w: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047</w:t>
            </w:r>
            <w:r w:rsidRPr="006B3F19">
              <w:rPr>
                <w:rFonts w:ascii="Times New Roman" w:eastAsia="新細明體" w:hAnsi="Times New Roman" w:cs="Times New Roman" w:hint="eastAsia"/>
                <w:szCs w:val="24"/>
              </w:rPr>
              <w:t>畜牧行政、管理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2"/>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獸醫師管理系統</w:t>
            </w:r>
          </w:p>
        </w:tc>
        <w:tc>
          <w:tcPr>
            <w:tcW w:w="126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獸醫師法施行細則第五條</w:t>
            </w:r>
          </w:p>
        </w:tc>
        <w:tc>
          <w:tcPr>
            <w:tcW w:w="900" w:type="dxa"/>
          </w:tcPr>
          <w:p w:rsidR="006B3F19" w:rsidRPr="006B3F19" w:rsidRDefault="006B3F19" w:rsidP="006B3F19">
            <w:pPr>
              <w:rPr>
                <w:rFonts w:ascii="Times New Roman" w:eastAsia="新細明體" w:hAnsi="Times New Roman" w:cs="Times New Roman"/>
                <w:szCs w:val="24"/>
              </w:rPr>
            </w:pPr>
            <w:proofErr w:type="gramStart"/>
            <w:r w:rsidRPr="006B3F19">
              <w:rPr>
                <w:rFonts w:ascii="Times New Roman" w:eastAsia="新細明體" w:hAnsi="Times New Roman" w:cs="Times New Roman"/>
                <w:szCs w:val="24"/>
              </w:rPr>
              <w:t>070</w:t>
            </w:r>
            <w:r w:rsidRPr="006B3F19">
              <w:rPr>
                <w:rFonts w:ascii="Times New Roman" w:eastAsia="新細明體" w:hAnsi="Times New Roman" w:cs="Times New Roman" w:hint="eastAsia"/>
                <w:szCs w:val="24"/>
              </w:rPr>
              <w:t>發照</w:t>
            </w:r>
            <w:proofErr w:type="gramEnd"/>
            <w:r w:rsidRPr="006B3F19">
              <w:rPr>
                <w:rFonts w:ascii="Times New Roman" w:eastAsia="新細明體" w:hAnsi="Times New Roman" w:cs="Times New Roman" w:hint="eastAsia"/>
                <w:szCs w:val="24"/>
              </w:rPr>
              <w:t>與登記</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C052</w:t>
            </w:r>
            <w:r w:rsidRPr="006B3F19">
              <w:rPr>
                <w:rFonts w:ascii="Times New Roman" w:eastAsia="新細明體" w:hAnsi="Times New Roman" w:cs="Times New Roman" w:hint="eastAsia"/>
                <w:szCs w:val="24"/>
              </w:rPr>
              <w:t>資格技術</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姓名、地址、身份證號、</w:t>
            </w:r>
            <w:proofErr w:type="gramStart"/>
            <w:r w:rsidRPr="006B3F19">
              <w:rPr>
                <w:rFonts w:ascii="Times New Roman" w:eastAsia="新細明體" w:hAnsi="Times New Roman" w:cs="Times New Roman" w:hint="eastAsia"/>
                <w:szCs w:val="24"/>
              </w:rPr>
              <w:t>姓別</w:t>
            </w:r>
            <w:proofErr w:type="gramEnd"/>
            <w:r w:rsidRPr="006B3F19">
              <w:rPr>
                <w:rFonts w:ascii="Times New Roman" w:eastAsia="新細明體" w:hAnsi="Times New Roman" w:cs="Times New Roman" w:hint="eastAsia"/>
                <w:szCs w:val="24"/>
              </w:rPr>
              <w:t>、出生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1"/>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口蹄</w:t>
            </w:r>
            <w:proofErr w:type="gramStart"/>
            <w:r w:rsidRPr="006B3F19">
              <w:rPr>
                <w:rFonts w:ascii="Times New Roman" w:eastAsia="新細明體" w:hAnsi="Times New Roman" w:cs="Times New Roman" w:hint="eastAsia"/>
                <w:szCs w:val="24"/>
              </w:rPr>
              <w:t>疫</w:t>
            </w:r>
            <w:proofErr w:type="gramEnd"/>
            <w:r w:rsidRPr="006B3F19">
              <w:rPr>
                <w:rFonts w:ascii="Times New Roman" w:eastAsia="新細明體" w:hAnsi="Times New Roman" w:cs="Times New Roman" w:hint="eastAsia"/>
                <w:szCs w:val="24"/>
              </w:rPr>
              <w:t>疫苗注射措施管理系統</w:t>
            </w:r>
          </w:p>
        </w:tc>
        <w:tc>
          <w:tcPr>
            <w:tcW w:w="126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動物傳染病防治條例第十三條</w:t>
            </w: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047</w:t>
            </w:r>
            <w:r w:rsidRPr="006B3F19">
              <w:rPr>
                <w:rFonts w:ascii="Times New Roman" w:eastAsia="新細明體" w:hAnsi="Times New Roman" w:cs="Times New Roman" w:hint="eastAsia"/>
                <w:szCs w:val="24"/>
              </w:rPr>
              <w:t>畜牧行政、管理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2"/>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金門</w:t>
            </w:r>
            <w:proofErr w:type="gramStart"/>
            <w:r w:rsidRPr="006B3F19">
              <w:rPr>
                <w:rFonts w:ascii="Times New Roman" w:eastAsia="新細明體" w:hAnsi="Times New Roman" w:cs="Times New Roman" w:hint="eastAsia"/>
                <w:szCs w:val="24"/>
              </w:rPr>
              <w:t>牛隻銷台</w:t>
            </w:r>
            <w:proofErr w:type="gramEnd"/>
            <w:r w:rsidRPr="006B3F19">
              <w:rPr>
                <w:rFonts w:ascii="Times New Roman" w:eastAsia="新細明體" w:hAnsi="Times New Roman" w:cs="Times New Roman" w:hint="eastAsia"/>
                <w:szCs w:val="24"/>
              </w:rPr>
              <w:t>資訊管理系統</w:t>
            </w:r>
          </w:p>
        </w:tc>
        <w:tc>
          <w:tcPr>
            <w:tcW w:w="1260" w:type="dxa"/>
          </w:tcPr>
          <w:p w:rsidR="006B3F19" w:rsidRPr="006B3F19" w:rsidRDefault="006B3F19" w:rsidP="006B3F19">
            <w:pPr>
              <w:rPr>
                <w:rFonts w:ascii="Times New Roman" w:eastAsia="新細明體" w:hAnsi="Times New Roman" w:cs="Times New Roman"/>
                <w:szCs w:val="24"/>
              </w:rPr>
            </w:pPr>
            <w:r w:rsidRPr="006B3F19">
              <w:rPr>
                <w:rFonts w:ascii="新細明體" w:eastAsia="新細明體" w:hAnsi="新細明體" w:cs="Arial" w:hint="eastAsia"/>
                <w:bCs/>
                <w:kern w:val="36"/>
                <w:szCs w:val="24"/>
              </w:rPr>
              <w:t>動物及其產品進出金門馬祖地區檢查規則第六條</w:t>
            </w: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047</w:t>
            </w:r>
            <w:r w:rsidRPr="006B3F19">
              <w:rPr>
                <w:rFonts w:ascii="Times New Roman" w:eastAsia="新細明體" w:hAnsi="Times New Roman" w:cs="Times New Roman" w:hint="eastAsia"/>
                <w:szCs w:val="24"/>
              </w:rPr>
              <w:t>畜牧行政、管理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1"/>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寵物登記管理資訊網</w:t>
            </w:r>
          </w:p>
        </w:tc>
        <w:tc>
          <w:tcPr>
            <w:tcW w:w="1260" w:type="dxa"/>
          </w:tcPr>
          <w:p w:rsidR="006B3F19" w:rsidRPr="006B3F19" w:rsidRDefault="006B3F19" w:rsidP="006B3F19">
            <w:pPr>
              <w:rPr>
                <w:rFonts w:ascii="新細明體" w:eastAsia="新細明體" w:hAnsi="Times New Roman" w:cs="Times New Roman"/>
                <w:szCs w:val="24"/>
              </w:rPr>
            </w:pPr>
            <w:r w:rsidRPr="006B3F19">
              <w:rPr>
                <w:rFonts w:ascii="新細明體" w:eastAsia="新細明體" w:hAnsi="新細明體" w:cs="Arial" w:hint="eastAsia"/>
                <w:bCs/>
                <w:kern w:val="36"/>
                <w:szCs w:val="24"/>
              </w:rPr>
              <w:t>動物及其產品進出金門馬祖地區檢查規則第四條</w:t>
            </w:r>
          </w:p>
        </w:tc>
        <w:tc>
          <w:tcPr>
            <w:tcW w:w="900" w:type="dxa"/>
          </w:tcPr>
          <w:p w:rsidR="006B3F19" w:rsidRPr="006B3F19" w:rsidRDefault="006B3F19" w:rsidP="006B3F19">
            <w:pPr>
              <w:rPr>
                <w:rFonts w:ascii="Times New Roman" w:eastAsia="新細明體" w:hAnsi="Times New Roman" w:cs="Times New Roman"/>
                <w:szCs w:val="24"/>
              </w:rPr>
            </w:pPr>
            <w:proofErr w:type="gramStart"/>
            <w:r w:rsidRPr="006B3F19">
              <w:rPr>
                <w:rFonts w:ascii="Times New Roman" w:eastAsia="新細明體" w:hAnsi="Times New Roman" w:cs="Times New Roman"/>
                <w:szCs w:val="24"/>
              </w:rPr>
              <w:t>070</w:t>
            </w:r>
            <w:r w:rsidRPr="006B3F19">
              <w:rPr>
                <w:rFonts w:ascii="Times New Roman" w:eastAsia="新細明體" w:hAnsi="Times New Roman" w:cs="Times New Roman" w:hint="eastAsia"/>
                <w:szCs w:val="24"/>
              </w:rPr>
              <w:t>發照</w:t>
            </w:r>
            <w:proofErr w:type="gramEnd"/>
            <w:r w:rsidRPr="006B3F19">
              <w:rPr>
                <w:rFonts w:ascii="Times New Roman" w:eastAsia="新細明體" w:hAnsi="Times New Roman" w:cs="Times New Roman" w:hint="eastAsia"/>
                <w:szCs w:val="24"/>
              </w:rPr>
              <w:t>與登記</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2"/>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狂犬病疫苗預防注射資訊管理系統</w:t>
            </w:r>
          </w:p>
        </w:tc>
        <w:tc>
          <w:tcPr>
            <w:tcW w:w="126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動物傳染病防治條例第十三條</w:t>
            </w: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047</w:t>
            </w:r>
            <w:r w:rsidRPr="006B3F19">
              <w:rPr>
                <w:rFonts w:ascii="Times New Roman" w:eastAsia="新細明體" w:hAnsi="Times New Roman" w:cs="Times New Roman" w:hint="eastAsia"/>
                <w:szCs w:val="24"/>
              </w:rPr>
              <w:t>畜牧行政、管理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1"/>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人事管理系統</w:t>
            </w:r>
          </w:p>
        </w:tc>
        <w:tc>
          <w:tcPr>
            <w:tcW w:w="1260" w:type="dxa"/>
          </w:tcPr>
          <w:p w:rsidR="006B3F19" w:rsidRPr="006B3F19" w:rsidRDefault="006B3F19" w:rsidP="006B3F19">
            <w:pPr>
              <w:rPr>
                <w:rFonts w:ascii="Times New Roman" w:eastAsia="新細明體" w:hAnsi="Times New Roman" w:cs="Times New Roman"/>
                <w:szCs w:val="24"/>
              </w:rPr>
            </w:pP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002</w:t>
            </w:r>
            <w:r w:rsidRPr="006B3F19">
              <w:rPr>
                <w:rFonts w:ascii="Times New Roman" w:eastAsia="新細明體" w:hAnsi="Times New Roman" w:cs="Times New Roman" w:hint="eastAsia"/>
                <w:szCs w:val="24"/>
              </w:rPr>
              <w:t>人事行政管理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姓名、地址、電話、身份證號、出生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329"/>
          <w:jc w:val="center"/>
        </w:trPr>
        <w:tc>
          <w:tcPr>
            <w:tcW w:w="707" w:type="dxa"/>
            <w:vMerge/>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全國工友及駐衛警察資訊管理系統</w:t>
            </w:r>
          </w:p>
        </w:tc>
        <w:tc>
          <w:tcPr>
            <w:tcW w:w="1260" w:type="dxa"/>
          </w:tcPr>
          <w:p w:rsidR="006B3F19" w:rsidRPr="006B3F19" w:rsidRDefault="006B3F19" w:rsidP="006B3F19">
            <w:pPr>
              <w:rPr>
                <w:rFonts w:ascii="Times New Roman" w:eastAsia="新細明體" w:hAnsi="Times New Roman" w:cs="Times New Roman"/>
                <w:szCs w:val="24"/>
              </w:rPr>
            </w:pP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002</w:t>
            </w:r>
            <w:r w:rsidRPr="006B3F19">
              <w:rPr>
                <w:rFonts w:ascii="Times New Roman" w:eastAsia="新細明體" w:hAnsi="Times New Roman" w:cs="Times New Roman" w:hint="eastAsia"/>
                <w:szCs w:val="24"/>
              </w:rPr>
              <w:t>人事行政管理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姓名、地址、電話、身份證號、出生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1"/>
          <w:jc w:val="center"/>
        </w:trPr>
        <w:tc>
          <w:tcPr>
            <w:tcW w:w="707" w:type="dxa"/>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公保網路作業系統</w:t>
            </w:r>
          </w:p>
        </w:tc>
        <w:tc>
          <w:tcPr>
            <w:tcW w:w="1260" w:type="dxa"/>
          </w:tcPr>
          <w:p w:rsidR="006B3F19" w:rsidRPr="006B3F19" w:rsidRDefault="006B3F19" w:rsidP="006B3F19">
            <w:pPr>
              <w:rPr>
                <w:rFonts w:ascii="Times New Roman" w:eastAsia="新細明體" w:hAnsi="Times New Roman" w:cs="Times New Roman"/>
                <w:szCs w:val="24"/>
              </w:rPr>
            </w:pP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044</w:t>
            </w:r>
            <w:r w:rsidRPr="006B3F19">
              <w:rPr>
                <w:rFonts w:ascii="Times New Roman" w:eastAsia="新細明體" w:hAnsi="Times New Roman" w:cs="Times New Roman" w:hint="eastAsia"/>
                <w:szCs w:val="24"/>
              </w:rPr>
              <w:t>保險監理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姓名、地址、電話、身份證號、出生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r w:rsidR="006B3F19" w:rsidRPr="006B3F19" w:rsidTr="007919C2">
        <w:tblPrEx>
          <w:tblCellMar>
            <w:top w:w="0" w:type="dxa"/>
            <w:bottom w:w="0" w:type="dxa"/>
          </w:tblCellMar>
        </w:tblPrEx>
        <w:trPr>
          <w:trHeight w:val="862"/>
          <w:jc w:val="center"/>
        </w:trPr>
        <w:tc>
          <w:tcPr>
            <w:tcW w:w="707" w:type="dxa"/>
          </w:tcPr>
          <w:p w:rsidR="006B3F19" w:rsidRPr="006B3F19" w:rsidRDefault="006B3F19" w:rsidP="006B3F19">
            <w:pPr>
              <w:rPr>
                <w:rFonts w:ascii="Times New Roman" w:eastAsia="新細明體" w:hAnsi="Times New Roman" w:cs="Times New Roman"/>
                <w:b/>
                <w:sz w:val="28"/>
                <w:szCs w:val="28"/>
              </w:rPr>
            </w:pP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基金繳納系統</w:t>
            </w:r>
          </w:p>
        </w:tc>
        <w:tc>
          <w:tcPr>
            <w:tcW w:w="1260" w:type="dxa"/>
          </w:tcPr>
          <w:p w:rsidR="006B3F19" w:rsidRPr="006B3F19" w:rsidRDefault="006B3F19" w:rsidP="006B3F19">
            <w:pPr>
              <w:rPr>
                <w:rFonts w:ascii="Times New Roman" w:eastAsia="新細明體" w:hAnsi="Times New Roman" w:cs="Times New Roman"/>
                <w:szCs w:val="24"/>
              </w:rPr>
            </w:pPr>
          </w:p>
        </w:tc>
        <w:tc>
          <w:tcPr>
            <w:tcW w:w="90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043</w:t>
            </w:r>
            <w:r w:rsidRPr="006B3F19">
              <w:rPr>
                <w:rFonts w:ascii="Times New Roman" w:eastAsia="新細明體" w:hAnsi="Times New Roman" w:cs="Times New Roman" w:hint="eastAsia"/>
                <w:szCs w:val="24"/>
              </w:rPr>
              <w:t>退撫基金或退休金管理</w:t>
            </w:r>
          </w:p>
        </w:tc>
        <w:tc>
          <w:tcPr>
            <w:tcW w:w="733" w:type="dxa"/>
            <w:tcBorders>
              <w:righ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szCs w:val="24"/>
              </w:rPr>
              <w:t>c001</w:t>
            </w:r>
            <w:r w:rsidRPr="006B3F19">
              <w:rPr>
                <w:rFonts w:ascii="Times New Roman" w:eastAsia="新細明體" w:hAnsi="Times New Roman" w:cs="Times New Roman" w:hint="eastAsia"/>
                <w:szCs w:val="24"/>
              </w:rPr>
              <w:t>辨識個人</w:t>
            </w:r>
          </w:p>
        </w:tc>
        <w:tc>
          <w:tcPr>
            <w:tcW w:w="1427" w:type="dxa"/>
            <w:tcBorders>
              <w:left w:val="single" w:sz="12" w:space="0" w:color="auto"/>
            </w:tcBorders>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姓名、地址、電話、身份證號、出生</w:t>
            </w:r>
          </w:p>
        </w:tc>
        <w:tc>
          <w:tcPr>
            <w:tcW w:w="108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否</w:t>
            </w:r>
          </w:p>
        </w:tc>
        <w:tc>
          <w:tcPr>
            <w:tcW w:w="1440"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c>
          <w:tcPr>
            <w:tcW w:w="1453" w:type="dxa"/>
          </w:tcPr>
          <w:p w:rsidR="006B3F19" w:rsidRPr="006B3F19" w:rsidRDefault="006B3F19" w:rsidP="006B3F19">
            <w:pPr>
              <w:rPr>
                <w:rFonts w:ascii="Times New Roman" w:eastAsia="新細明體" w:hAnsi="Times New Roman" w:cs="Times New Roman"/>
                <w:szCs w:val="24"/>
              </w:rPr>
            </w:pPr>
            <w:r w:rsidRPr="006B3F19">
              <w:rPr>
                <w:rFonts w:ascii="Times New Roman" w:eastAsia="新細明體" w:hAnsi="Times New Roman" w:cs="Times New Roman" w:hint="eastAsia"/>
                <w:szCs w:val="24"/>
              </w:rPr>
              <w:t>無</w:t>
            </w:r>
          </w:p>
        </w:tc>
      </w:tr>
    </w:tbl>
    <w:p w:rsidR="006B3F19" w:rsidRPr="006B3F19" w:rsidRDefault="006B3F19" w:rsidP="006B3F19">
      <w:pPr>
        <w:rPr>
          <w:rFonts w:ascii="Times New Roman" w:eastAsia="新細明體" w:hAnsi="Times New Roman" w:cs="Times New Roman"/>
          <w:szCs w:val="24"/>
        </w:rPr>
      </w:pPr>
    </w:p>
    <w:p w:rsidR="00F94A32" w:rsidRDefault="00C15372">
      <w:bookmarkStart w:id="0" w:name="_GoBack"/>
      <w:bookmarkEnd w:id="0"/>
    </w:p>
    <w:sectPr w:rsidR="00F94A32" w:rsidSect="001A2023">
      <w:footnotePr>
        <w:pos w:val="beneathText"/>
      </w:footnotePr>
      <w:endnotePr>
        <w:numFmt w:val="decimal"/>
      </w:endnotePr>
      <w:type w:val="continuous"/>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72" w:rsidRDefault="00C15372" w:rsidP="006B3F19">
      <w:r>
        <w:separator/>
      </w:r>
    </w:p>
  </w:endnote>
  <w:endnote w:type="continuationSeparator" w:id="0">
    <w:p w:rsidR="00C15372" w:rsidRDefault="00C15372" w:rsidP="006B3F19">
      <w:r>
        <w:continuationSeparator/>
      </w:r>
    </w:p>
  </w:endnote>
  <w:endnote w:id="1">
    <w:p w:rsidR="006B3F19" w:rsidRDefault="006B3F19" w:rsidP="006B3F19">
      <w:pPr>
        <w:pStyle w:val="a3"/>
        <w:spacing w:line="360" w:lineRule="atLeast"/>
        <w:jc w:val="both"/>
      </w:pPr>
      <w:r>
        <w:rPr>
          <w:rStyle w:val="a5"/>
        </w:rPr>
        <w:endnoteRef/>
      </w:r>
      <w:r>
        <w:rPr>
          <w:rFonts w:ascii="標楷體" w:eastAsia="標楷體" w:hAnsi="標楷體"/>
        </w:rPr>
        <w:t xml:space="preserve"> </w:t>
      </w:r>
      <w:r w:rsidRPr="00B84015">
        <w:rPr>
          <w:rFonts w:ascii="標楷體" w:eastAsia="標楷體" w:hAnsi="標楷體" w:hint="eastAsia"/>
        </w:rPr>
        <w:t>參照</w:t>
      </w:r>
      <w:r>
        <w:rPr>
          <w:rFonts w:ascii="標楷體" w:eastAsia="標楷體" w:hAnsi="標楷體" w:hint="eastAsia"/>
        </w:rPr>
        <w:t>電腦處理個人資料保護法（以下簡稱</w:t>
      </w:r>
      <w:r w:rsidRPr="00B84015">
        <w:rPr>
          <w:rFonts w:ascii="標楷體" w:eastAsia="標楷體" w:hAnsi="標楷體" w:hint="eastAsia"/>
        </w:rPr>
        <w:t>個資法</w:t>
      </w:r>
      <w:r>
        <w:rPr>
          <w:rFonts w:ascii="標楷體" w:eastAsia="標楷體" w:hAnsi="標楷體" w:hint="eastAsia"/>
        </w:rPr>
        <w:t>）</w:t>
      </w:r>
      <w:r w:rsidRPr="00B84015">
        <w:rPr>
          <w:rFonts w:ascii="標楷體" w:eastAsia="標楷體" w:hAnsi="標楷體" w:hint="eastAsia"/>
        </w:rPr>
        <w:t>第</w:t>
      </w:r>
      <w:r w:rsidRPr="00B84015">
        <w:rPr>
          <w:rFonts w:ascii="標楷體" w:eastAsia="標楷體" w:hAnsi="標楷體"/>
        </w:rPr>
        <w:t>10</w:t>
      </w:r>
      <w:r w:rsidRPr="00B84015">
        <w:rPr>
          <w:rFonts w:ascii="標楷體" w:eastAsia="標楷體" w:hAnsi="標楷體" w:hint="eastAsia"/>
        </w:rPr>
        <w:t>條之各款規定</w:t>
      </w:r>
    </w:p>
  </w:endnote>
  <w:endnote w:id="2">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例如：</w:t>
      </w:r>
      <w:r>
        <w:rPr>
          <w:rFonts w:ascii="標楷體" w:eastAsia="標楷體" w:hAnsi="標楷體" w:hint="eastAsia"/>
        </w:rPr>
        <w:t>法務部</w:t>
      </w:r>
      <w:r w:rsidRPr="00B84015">
        <w:rPr>
          <w:rFonts w:ascii="標楷體" w:eastAsia="標楷體" w:hAnsi="標楷體" w:hint="eastAsia"/>
        </w:rPr>
        <w:t>法律</w:t>
      </w:r>
      <w:proofErr w:type="gramStart"/>
      <w:r w:rsidRPr="00B84015">
        <w:rPr>
          <w:rFonts w:ascii="標楷體" w:eastAsia="標楷體" w:hAnsi="標楷體" w:hint="eastAsia"/>
        </w:rPr>
        <w:t>事務司掌有</w:t>
      </w:r>
      <w:proofErr w:type="gramEnd"/>
      <w:r w:rsidRPr="00B84015">
        <w:rPr>
          <w:rFonts w:ascii="標楷體" w:eastAsia="標楷體" w:hAnsi="標楷體" w:hint="eastAsia"/>
        </w:rPr>
        <w:t>之「行政執行法研究修正專案小組委員聯絡名單」</w:t>
      </w:r>
    </w:p>
  </w:endnote>
  <w:endnote w:id="3">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蒐集、保有或管理之法律依據，例如：犯罪被害人保護法施行細則第</w:t>
      </w:r>
      <w:r w:rsidRPr="00B84015">
        <w:rPr>
          <w:rFonts w:ascii="標楷體" w:eastAsia="標楷體" w:hAnsi="標楷體"/>
        </w:rPr>
        <w:t>12</w:t>
      </w:r>
      <w:r w:rsidRPr="00B84015">
        <w:rPr>
          <w:rFonts w:ascii="標楷體" w:eastAsia="標楷體" w:hAnsi="標楷體" w:hint="eastAsia"/>
        </w:rPr>
        <w:t>條（附件</w:t>
      </w:r>
      <w:r w:rsidRPr="00B84015">
        <w:rPr>
          <w:rFonts w:ascii="標楷體" w:eastAsia="標楷體" w:hAnsi="標楷體"/>
        </w:rPr>
        <w:t>2</w:t>
      </w:r>
      <w:r w:rsidRPr="00B84015">
        <w:rPr>
          <w:rFonts w:ascii="標楷體" w:eastAsia="標楷體" w:hAnsi="標楷體" w:hint="eastAsia"/>
        </w:rPr>
        <w:t>）</w:t>
      </w:r>
    </w:p>
  </w:endnote>
  <w:endnote w:id="4">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參照</w:t>
      </w:r>
      <w:r>
        <w:rPr>
          <w:rFonts w:ascii="標楷體" w:eastAsia="標楷體" w:hAnsi="標楷體" w:hint="eastAsia"/>
        </w:rPr>
        <w:t>法務</w:t>
      </w:r>
      <w:r w:rsidRPr="00B84015">
        <w:rPr>
          <w:rFonts w:ascii="標楷體" w:eastAsia="標楷體" w:hAnsi="標楷體" w:hint="eastAsia"/>
        </w:rPr>
        <w:t>部</w:t>
      </w:r>
      <w:smartTag w:uri="urn:schemas-microsoft-com:office:smarttags" w:element="chsdate">
        <w:smartTagPr>
          <w:attr w:name="IsROCDate" w:val="False"/>
          <w:attr w:name="IsLunarDate" w:val="False"/>
          <w:attr w:name="Day" w:val="7"/>
          <w:attr w:name="Month" w:val="8"/>
          <w:attr w:name="Year" w:val="1985"/>
        </w:smartTagPr>
        <w:r w:rsidRPr="00B84015">
          <w:rPr>
            <w:rFonts w:ascii="標楷體" w:eastAsia="標楷體" w:hAnsi="標楷體"/>
          </w:rPr>
          <w:t>85</w:t>
        </w:r>
        <w:r w:rsidRPr="00B84015">
          <w:rPr>
            <w:rFonts w:ascii="標楷體" w:eastAsia="標楷體" w:hAnsi="標楷體" w:hint="eastAsia"/>
          </w:rPr>
          <w:t>年</w:t>
        </w:r>
        <w:r w:rsidRPr="00B84015">
          <w:rPr>
            <w:rFonts w:ascii="標楷體" w:eastAsia="標楷體" w:hAnsi="標楷體"/>
          </w:rPr>
          <w:t>8</w:t>
        </w:r>
        <w:r w:rsidRPr="00B84015">
          <w:rPr>
            <w:rFonts w:ascii="標楷體" w:eastAsia="標楷體" w:hAnsi="標楷體" w:hint="eastAsia"/>
          </w:rPr>
          <w:t>月</w:t>
        </w:r>
        <w:r w:rsidRPr="00B84015">
          <w:rPr>
            <w:rFonts w:ascii="標楷體" w:eastAsia="標楷體" w:hAnsi="標楷體"/>
          </w:rPr>
          <w:t>7</w:t>
        </w:r>
        <w:r w:rsidRPr="00B84015">
          <w:rPr>
            <w:rFonts w:ascii="標楷體" w:eastAsia="標楷體" w:hAnsi="標楷體" w:hint="eastAsia"/>
          </w:rPr>
          <w:t>日</w:t>
        </w:r>
      </w:smartTag>
      <w:r w:rsidRPr="00B84015">
        <w:rPr>
          <w:rFonts w:ascii="標楷體" w:eastAsia="標楷體" w:hAnsi="標楷體" w:hint="eastAsia"/>
        </w:rPr>
        <w:t>法令字第</w:t>
      </w:r>
      <w:r w:rsidRPr="00B84015">
        <w:rPr>
          <w:rFonts w:ascii="標楷體" w:eastAsia="標楷體" w:hAnsi="標楷體"/>
        </w:rPr>
        <w:t>19745</w:t>
      </w:r>
      <w:r w:rsidRPr="00B84015">
        <w:rPr>
          <w:rFonts w:ascii="標楷體" w:eastAsia="標楷體" w:hAnsi="標楷體" w:hint="eastAsia"/>
        </w:rPr>
        <w:t>號（附件</w:t>
      </w:r>
      <w:r w:rsidRPr="00B84015">
        <w:rPr>
          <w:rFonts w:ascii="標楷體" w:eastAsia="標楷體" w:hAnsi="標楷體"/>
        </w:rPr>
        <w:t>3</w:t>
      </w:r>
      <w:r w:rsidRPr="00B84015">
        <w:rPr>
          <w:rFonts w:ascii="標楷體" w:eastAsia="標楷體" w:hAnsi="標楷體" w:hint="eastAsia"/>
        </w:rPr>
        <w:t>），例如：法律</w:t>
      </w:r>
      <w:proofErr w:type="gramStart"/>
      <w:r w:rsidRPr="00B84015">
        <w:rPr>
          <w:rFonts w:ascii="標楷體" w:eastAsia="標楷體" w:hAnsi="標楷體" w:hint="eastAsia"/>
        </w:rPr>
        <w:t>事務司掌有</w:t>
      </w:r>
      <w:proofErr w:type="gramEnd"/>
      <w:r w:rsidRPr="00B84015">
        <w:rPr>
          <w:rFonts w:ascii="標楷體" w:eastAsia="標楷體" w:hAnsi="標楷體" w:hint="eastAsia"/>
        </w:rPr>
        <w:t>之「行政執行法研究修正專案小組委員聯絡名單」，其特定目的項目為：</w:t>
      </w:r>
      <w:r w:rsidRPr="00B84015">
        <w:rPr>
          <w:rFonts w:ascii="標楷體" w:eastAsia="標楷體" w:hAnsi="標楷體"/>
        </w:rPr>
        <w:t>011</w:t>
      </w:r>
      <w:r w:rsidRPr="00B84015">
        <w:rPr>
          <w:rFonts w:ascii="標楷體" w:eastAsia="標楷體" w:hAnsi="標楷體" w:hint="eastAsia"/>
        </w:rPr>
        <w:t>立法或立法諮詢</w:t>
      </w:r>
    </w:p>
  </w:endnote>
  <w:endnote w:id="5">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參照</w:t>
      </w:r>
      <w:r>
        <w:rPr>
          <w:rFonts w:ascii="標楷體" w:eastAsia="標楷體" w:hAnsi="標楷體" w:hint="eastAsia"/>
        </w:rPr>
        <w:t>法務</w:t>
      </w:r>
      <w:r w:rsidRPr="00B84015">
        <w:rPr>
          <w:rFonts w:ascii="標楷體" w:eastAsia="標楷體" w:hAnsi="標楷體" w:hint="eastAsia"/>
        </w:rPr>
        <w:t>部</w:t>
      </w:r>
      <w:smartTag w:uri="urn:schemas-microsoft-com:office:smarttags" w:element="chsdate">
        <w:smartTagPr>
          <w:attr w:name="IsROCDate" w:val="False"/>
          <w:attr w:name="IsLunarDate" w:val="False"/>
          <w:attr w:name="Day" w:val="7"/>
          <w:attr w:name="Month" w:val="8"/>
          <w:attr w:name="Year" w:val="1985"/>
        </w:smartTagPr>
        <w:r w:rsidRPr="00B84015">
          <w:rPr>
            <w:rFonts w:ascii="標楷體" w:eastAsia="標楷體" w:hAnsi="標楷體"/>
          </w:rPr>
          <w:t>85</w:t>
        </w:r>
        <w:r w:rsidRPr="00B84015">
          <w:rPr>
            <w:rFonts w:ascii="標楷體" w:eastAsia="標楷體" w:hAnsi="標楷體" w:hint="eastAsia"/>
          </w:rPr>
          <w:t>年</w:t>
        </w:r>
        <w:r w:rsidRPr="00B84015">
          <w:rPr>
            <w:rFonts w:ascii="標楷體" w:eastAsia="標楷體" w:hAnsi="標楷體"/>
          </w:rPr>
          <w:t>8</w:t>
        </w:r>
        <w:r w:rsidRPr="00B84015">
          <w:rPr>
            <w:rFonts w:ascii="標楷體" w:eastAsia="標楷體" w:hAnsi="標楷體" w:hint="eastAsia"/>
          </w:rPr>
          <w:t>月</w:t>
        </w:r>
        <w:r w:rsidRPr="00B84015">
          <w:rPr>
            <w:rFonts w:ascii="標楷體" w:eastAsia="標楷體" w:hAnsi="標楷體"/>
          </w:rPr>
          <w:t>7</w:t>
        </w:r>
        <w:r w:rsidRPr="00B84015">
          <w:rPr>
            <w:rFonts w:ascii="標楷體" w:eastAsia="標楷體" w:hAnsi="標楷體" w:hint="eastAsia"/>
          </w:rPr>
          <w:t>日</w:t>
        </w:r>
      </w:smartTag>
      <w:r w:rsidRPr="00B84015">
        <w:rPr>
          <w:rFonts w:ascii="標楷體" w:eastAsia="標楷體" w:hAnsi="標楷體" w:hint="eastAsia"/>
        </w:rPr>
        <w:t>法令字第</w:t>
      </w:r>
      <w:r w:rsidRPr="00B84015">
        <w:rPr>
          <w:rFonts w:ascii="標楷體" w:eastAsia="標楷體" w:hAnsi="標楷體"/>
        </w:rPr>
        <w:t>19745</w:t>
      </w:r>
      <w:r w:rsidRPr="00B84015">
        <w:rPr>
          <w:rFonts w:ascii="標楷體" w:eastAsia="標楷體" w:hAnsi="標楷體" w:hint="eastAsia"/>
        </w:rPr>
        <w:t>號（附件</w:t>
      </w:r>
      <w:r w:rsidRPr="00B84015">
        <w:rPr>
          <w:rFonts w:ascii="標楷體" w:eastAsia="標楷體" w:hAnsi="標楷體"/>
        </w:rPr>
        <w:t>4</w:t>
      </w:r>
      <w:r w:rsidRPr="00B84015">
        <w:rPr>
          <w:rFonts w:ascii="標楷體" w:eastAsia="標楷體" w:hAnsi="標楷體" w:hint="eastAsia"/>
        </w:rPr>
        <w:t>）</w:t>
      </w:r>
      <w:r>
        <w:rPr>
          <w:rFonts w:ascii="標楷體" w:eastAsia="標楷體" w:hAnsi="標楷體" w:hint="eastAsia"/>
        </w:rPr>
        <w:t>，</w:t>
      </w:r>
      <w:r w:rsidRPr="00B84015">
        <w:rPr>
          <w:rFonts w:ascii="標楷體" w:eastAsia="標楷體" w:hAnsi="標楷體" w:hint="eastAsia"/>
        </w:rPr>
        <w:t>例如：法律</w:t>
      </w:r>
      <w:proofErr w:type="gramStart"/>
      <w:r w:rsidRPr="00B84015">
        <w:rPr>
          <w:rFonts w:ascii="標楷體" w:eastAsia="標楷體" w:hAnsi="標楷體" w:hint="eastAsia"/>
        </w:rPr>
        <w:t>事務司</w:t>
      </w:r>
      <w:r>
        <w:rPr>
          <w:rFonts w:ascii="標楷體" w:eastAsia="標楷體" w:hAnsi="標楷體" w:hint="eastAsia"/>
        </w:rPr>
        <w:t>掌有</w:t>
      </w:r>
      <w:proofErr w:type="gramEnd"/>
      <w:r>
        <w:rPr>
          <w:rFonts w:ascii="標楷體" w:eastAsia="標楷體" w:hAnsi="標楷體" w:hint="eastAsia"/>
        </w:rPr>
        <w:t>之「行政執行法研究修正專案小組委員聯絡名單」，其個人資料類別</w:t>
      </w:r>
      <w:r w:rsidRPr="00B84015">
        <w:rPr>
          <w:rFonts w:ascii="標楷體" w:eastAsia="標楷體" w:hAnsi="標楷體" w:hint="eastAsia"/>
        </w:rPr>
        <w:t>為：</w:t>
      </w:r>
      <w:r>
        <w:rPr>
          <w:rFonts w:ascii="標楷體" w:eastAsia="標楷體" w:hAnsi="標楷體" w:hint="eastAsia"/>
        </w:rPr>
        <w:t>識別類（</w:t>
      </w:r>
      <w:r>
        <w:rPr>
          <w:rFonts w:ascii="標楷體" w:eastAsia="標楷體" w:hAnsi="標楷體"/>
        </w:rPr>
        <w:t>C001</w:t>
      </w:r>
      <w:r>
        <w:rPr>
          <w:rFonts w:ascii="標楷體" w:eastAsia="標楷體" w:hAnsi="標楷體" w:hint="eastAsia"/>
        </w:rPr>
        <w:t>識別個人者、</w:t>
      </w:r>
      <w:r>
        <w:rPr>
          <w:rFonts w:ascii="標楷體" w:eastAsia="標楷體" w:hAnsi="標楷體"/>
        </w:rPr>
        <w:t>C003</w:t>
      </w:r>
      <w:r>
        <w:rPr>
          <w:rFonts w:ascii="標楷體" w:eastAsia="標楷體" w:hAnsi="標楷體" w:hint="eastAsia"/>
        </w:rPr>
        <w:t>政府資料中之辨識者）、特徵類（</w:t>
      </w:r>
      <w:r>
        <w:rPr>
          <w:rFonts w:ascii="標楷體" w:eastAsia="標楷體" w:hAnsi="標楷體"/>
        </w:rPr>
        <w:t>C011</w:t>
      </w:r>
      <w:r>
        <w:rPr>
          <w:rFonts w:ascii="標楷體" w:eastAsia="標楷體" w:hAnsi="標楷體" w:hint="eastAsia"/>
        </w:rPr>
        <w:t>個人描述）、社會狀況（</w:t>
      </w:r>
      <w:r>
        <w:rPr>
          <w:rFonts w:ascii="標楷體" w:eastAsia="標楷體" w:hAnsi="標楷體"/>
        </w:rPr>
        <w:t>C038</w:t>
      </w:r>
      <w:r>
        <w:rPr>
          <w:rFonts w:ascii="標楷體" w:eastAsia="標楷體" w:hAnsi="標楷體" w:hint="eastAsia"/>
        </w:rPr>
        <w:t>職業）、教育、技術或其他專業（</w:t>
      </w:r>
      <w:r>
        <w:rPr>
          <w:rFonts w:ascii="標楷體" w:eastAsia="標楷體" w:hAnsi="標楷體"/>
        </w:rPr>
        <w:t>C054</w:t>
      </w:r>
      <w:r>
        <w:rPr>
          <w:rFonts w:ascii="標楷體" w:eastAsia="標楷體" w:hAnsi="標楷體" w:hint="eastAsia"/>
        </w:rPr>
        <w:t>職業專長）等</w:t>
      </w:r>
    </w:p>
  </w:endnote>
  <w:endnote w:id="6">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例如：法律</w:t>
      </w:r>
      <w:proofErr w:type="gramStart"/>
      <w:r w:rsidRPr="00B84015">
        <w:rPr>
          <w:rFonts w:ascii="標楷體" w:eastAsia="標楷體" w:hAnsi="標楷體" w:hint="eastAsia"/>
        </w:rPr>
        <w:t>事務司掌有</w:t>
      </w:r>
      <w:proofErr w:type="gramEnd"/>
      <w:r w:rsidRPr="00B84015">
        <w:rPr>
          <w:rFonts w:ascii="標楷體" w:eastAsia="標楷體" w:hAnsi="標楷體" w:hint="eastAsia"/>
        </w:rPr>
        <w:t>之「行政執行法研究修正專案小組委員聯絡名單」</w:t>
      </w:r>
      <w:r>
        <w:rPr>
          <w:rFonts w:ascii="標楷體" w:eastAsia="標楷體" w:hAnsi="標楷體" w:hint="eastAsia"/>
        </w:rPr>
        <w:t>範圍包含姓名、身分證統一編號、職業、職稱、戶籍及寄送住址、電話號碼、電子郵件信箱等</w:t>
      </w:r>
    </w:p>
  </w:endnote>
  <w:endnote w:id="7">
    <w:p w:rsidR="006B3F19" w:rsidRDefault="006B3F19" w:rsidP="006B3F19">
      <w:pPr>
        <w:pStyle w:val="a3"/>
        <w:spacing w:line="360" w:lineRule="atLeast"/>
        <w:jc w:val="both"/>
      </w:pPr>
      <w:r w:rsidRPr="001A2023">
        <w:rPr>
          <w:rStyle w:val="a5"/>
          <w:rFonts w:ascii="標楷體" w:eastAsia="標楷體" w:hAnsi="標楷體"/>
          <w:sz w:val="28"/>
          <w:szCs w:val="28"/>
        </w:rPr>
        <w:endnoteRef/>
      </w:r>
      <w:r w:rsidRPr="00B84015">
        <w:rPr>
          <w:rFonts w:ascii="標楷體" w:eastAsia="標楷體" w:hAnsi="標楷體"/>
        </w:rPr>
        <w:t xml:space="preserve"> </w:t>
      </w:r>
      <w:r w:rsidRPr="00B84015">
        <w:rPr>
          <w:rFonts w:ascii="標楷體" w:eastAsia="標楷體" w:hAnsi="標楷體" w:hint="eastAsia"/>
        </w:rPr>
        <w:t>即醫療、基因、性生活、健康檢查、犯罪前科等</w:t>
      </w:r>
      <w:r w:rsidRPr="00B84015">
        <w:rPr>
          <w:rFonts w:ascii="標楷體" w:eastAsia="標楷體" w:hAnsi="標楷體"/>
        </w:rPr>
        <w:t>5</w:t>
      </w:r>
      <w:r w:rsidRPr="00B84015">
        <w:rPr>
          <w:rFonts w:ascii="標楷體" w:eastAsia="標楷體" w:hAnsi="標楷體" w:hint="eastAsia"/>
        </w:rPr>
        <w:t>類個人資料（參照個資法修正草案第</w:t>
      </w:r>
      <w:r>
        <w:rPr>
          <w:rFonts w:ascii="標楷體" w:eastAsia="標楷體" w:hAnsi="標楷體"/>
        </w:rPr>
        <w:t>6</w:t>
      </w:r>
      <w:r w:rsidRPr="00B84015">
        <w:rPr>
          <w:rFonts w:ascii="標楷體" w:eastAsia="標楷體" w:hAnsi="標楷體" w:hint="eastAsia"/>
        </w:rPr>
        <w:t>條</w:t>
      </w:r>
      <w:r>
        <w:rPr>
          <w:rFonts w:ascii="標楷體" w:eastAsia="標楷體" w:hAnsi="標楷體" w:hint="eastAsia"/>
        </w:rPr>
        <w:t>，附件</w:t>
      </w:r>
      <w:r>
        <w:rPr>
          <w:rFonts w:ascii="標楷體" w:eastAsia="標楷體" w:hAnsi="標楷體"/>
        </w:rPr>
        <w:t>5</w:t>
      </w:r>
      <w:r w:rsidRPr="00B84015">
        <w:rPr>
          <w:rFonts w:ascii="標楷體" w:eastAsia="標楷體" w:hAnsi="標楷體" w:hint="eastAsia"/>
        </w:rPr>
        <w:t>）</w:t>
      </w:r>
    </w:p>
  </w:endnote>
  <w:endnote w:id="8">
    <w:p w:rsidR="006B3F19" w:rsidRDefault="006B3F19" w:rsidP="006B3F19">
      <w:pPr>
        <w:pStyle w:val="a3"/>
      </w:pPr>
      <w:r>
        <w:rPr>
          <w:rStyle w:val="a5"/>
        </w:rPr>
        <w:endnoteRef/>
      </w:r>
      <w:r>
        <w:t xml:space="preserve"> </w:t>
      </w:r>
      <w:r>
        <w:rPr>
          <w:rFonts w:ascii="標楷體" w:eastAsia="標楷體" w:hAnsi="標楷體" w:hint="eastAsia"/>
        </w:rPr>
        <w:t>適用現行</w:t>
      </w:r>
      <w:proofErr w:type="gramStart"/>
      <w:r w:rsidRPr="005C2EC9">
        <w:rPr>
          <w:rFonts w:ascii="標楷體" w:eastAsia="標楷體" w:hAnsi="標楷體" w:hint="eastAsia"/>
        </w:rPr>
        <w:t>個</w:t>
      </w:r>
      <w:proofErr w:type="gramEnd"/>
      <w:r w:rsidRPr="005C2EC9">
        <w:rPr>
          <w:rFonts w:ascii="標楷體" w:eastAsia="標楷體" w:hAnsi="標楷體" w:hint="eastAsia"/>
        </w:rPr>
        <w:t>資法</w:t>
      </w:r>
      <w:r>
        <w:rPr>
          <w:rFonts w:ascii="標楷體" w:eastAsia="標楷體" w:hAnsi="標楷體" w:hint="eastAsia"/>
        </w:rPr>
        <w:t>之「非公務機關」僅限於徵信業、醫院、學校、電信業、金融業、證券業、保險業、大眾傳播業等八大行業（參照第</w:t>
      </w:r>
      <w:r>
        <w:rPr>
          <w:rFonts w:ascii="標楷體" w:eastAsia="標楷體" w:hAnsi="標楷體"/>
        </w:rPr>
        <w:t>3</w:t>
      </w:r>
      <w:r>
        <w:rPr>
          <w:rFonts w:ascii="標楷體" w:eastAsia="標楷體" w:hAnsi="標楷體" w:hint="eastAsia"/>
        </w:rPr>
        <w:t>條第</w:t>
      </w:r>
      <w:r>
        <w:rPr>
          <w:rFonts w:ascii="標楷體" w:eastAsia="標楷體" w:hAnsi="標楷體"/>
        </w:rPr>
        <w:t>7</w:t>
      </w:r>
      <w:r>
        <w:rPr>
          <w:rFonts w:ascii="標楷體" w:eastAsia="標楷體" w:hAnsi="標楷體" w:hint="eastAsia"/>
        </w:rPr>
        <w:t>款第</w:t>
      </w:r>
      <w:r>
        <w:rPr>
          <w:rFonts w:ascii="標楷體" w:eastAsia="標楷體" w:hAnsi="標楷體"/>
        </w:rPr>
        <w:t>1</w:t>
      </w:r>
      <w:r>
        <w:rPr>
          <w:rFonts w:ascii="標楷體" w:eastAsia="標楷體" w:hAnsi="標楷體" w:hint="eastAsia"/>
        </w:rPr>
        <w:t>目及第</w:t>
      </w:r>
      <w:r>
        <w:rPr>
          <w:rFonts w:ascii="標楷體" w:eastAsia="標楷體" w:hAnsi="標楷體"/>
        </w:rPr>
        <w:t>2</w:t>
      </w:r>
      <w:r>
        <w:rPr>
          <w:rFonts w:ascii="標楷體" w:eastAsia="標楷體" w:hAnsi="標楷體" w:hint="eastAsia"/>
        </w:rPr>
        <w:t>目規定，附件</w:t>
      </w:r>
      <w:r>
        <w:rPr>
          <w:rFonts w:ascii="標楷體" w:eastAsia="標楷體" w:hAnsi="標楷體"/>
        </w:rPr>
        <w:t>1</w:t>
      </w:r>
      <w:r>
        <w:rPr>
          <w:rFonts w:ascii="標楷體" w:eastAsia="標楷體" w:hAnsi="標楷體" w:hint="eastAsia"/>
        </w:rPr>
        <w:t>）及已由法務部會同中央目的事業主管機關指定之事業、團體或個人（如附件</w:t>
      </w:r>
      <w:r>
        <w:rPr>
          <w:rFonts w:ascii="標楷體" w:eastAsia="標楷體" w:hAnsi="標楷體"/>
        </w:rPr>
        <w:t>6</w:t>
      </w:r>
      <w:r>
        <w:rPr>
          <w:rFonts w:ascii="標楷體" w:eastAsia="標楷體" w:hAnsi="標楷體" w:hint="eastAsia"/>
        </w:rPr>
        <w:t>所列），例如：財團法人更生保護會。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72" w:rsidRDefault="00C15372" w:rsidP="006B3F19">
      <w:r>
        <w:separator/>
      </w:r>
    </w:p>
  </w:footnote>
  <w:footnote w:type="continuationSeparator" w:id="0">
    <w:p w:rsidR="00C15372" w:rsidRDefault="00C15372" w:rsidP="006B3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19"/>
    <w:rsid w:val="006B3F19"/>
    <w:rsid w:val="007E7169"/>
    <w:rsid w:val="00BF64FA"/>
    <w:rsid w:val="00C15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6B3F19"/>
    <w:pPr>
      <w:snapToGrid w:val="0"/>
    </w:pPr>
    <w:rPr>
      <w:rFonts w:ascii="Times New Roman" w:eastAsia="新細明體" w:hAnsi="Times New Roman" w:cs="Times New Roman"/>
      <w:szCs w:val="24"/>
    </w:rPr>
  </w:style>
  <w:style w:type="character" w:customStyle="1" w:styleId="a4">
    <w:name w:val="章節附註文字 字元"/>
    <w:basedOn w:val="a0"/>
    <w:link w:val="a3"/>
    <w:uiPriority w:val="99"/>
    <w:semiHidden/>
    <w:rsid w:val="006B3F19"/>
    <w:rPr>
      <w:rFonts w:ascii="Times New Roman" w:eastAsia="新細明體" w:hAnsi="Times New Roman" w:cs="Times New Roman"/>
      <w:szCs w:val="24"/>
    </w:rPr>
  </w:style>
  <w:style w:type="character" w:styleId="a5">
    <w:name w:val="endnote reference"/>
    <w:basedOn w:val="a0"/>
    <w:uiPriority w:val="99"/>
    <w:semiHidden/>
    <w:rsid w:val="006B3F1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6B3F19"/>
    <w:pPr>
      <w:snapToGrid w:val="0"/>
    </w:pPr>
    <w:rPr>
      <w:rFonts w:ascii="Times New Roman" w:eastAsia="新細明體" w:hAnsi="Times New Roman" w:cs="Times New Roman"/>
      <w:szCs w:val="24"/>
    </w:rPr>
  </w:style>
  <w:style w:type="character" w:customStyle="1" w:styleId="a4">
    <w:name w:val="章節附註文字 字元"/>
    <w:basedOn w:val="a0"/>
    <w:link w:val="a3"/>
    <w:uiPriority w:val="99"/>
    <w:semiHidden/>
    <w:rsid w:val="006B3F19"/>
    <w:rPr>
      <w:rFonts w:ascii="Times New Roman" w:eastAsia="新細明體" w:hAnsi="Times New Roman" w:cs="Times New Roman"/>
      <w:szCs w:val="24"/>
    </w:rPr>
  </w:style>
  <w:style w:type="character" w:styleId="a5">
    <w:name w:val="endnote reference"/>
    <w:basedOn w:val="a0"/>
    <w:uiPriority w:val="99"/>
    <w:semiHidden/>
    <w:rsid w:val="006B3F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2011-11-25T07:29:00Z</dcterms:created>
  <dcterms:modified xsi:type="dcterms:W3CDTF">2011-11-25T07:30:00Z</dcterms:modified>
</cp:coreProperties>
</file>