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3B" w:rsidRPr="00776713" w:rsidRDefault="00B62F3B" w:rsidP="008E2187">
      <w:pPr>
        <w:widowControl/>
        <w:spacing w:line="52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/>
          <w:kern w:val="0"/>
          <w:sz w:val="32"/>
          <w:szCs w:val="32"/>
        </w:rPr>
        <w:t>福</w:t>
      </w:r>
      <w:proofErr w:type="gramStart"/>
      <w:r w:rsidRPr="00776713">
        <w:rPr>
          <w:rFonts w:ascii="標楷體" w:eastAsia="標楷體" w:hAnsi="標楷體" w:cs="新細明體"/>
          <w:kern w:val="0"/>
          <w:sz w:val="32"/>
          <w:szCs w:val="32"/>
        </w:rPr>
        <w:t>矛酒業侵</w:t>
      </w:r>
      <w:proofErr w:type="gramEnd"/>
      <w:r w:rsidRPr="00776713">
        <w:rPr>
          <w:rFonts w:ascii="標楷體" w:eastAsia="標楷體" w:hAnsi="標楷體" w:cs="新細明體"/>
          <w:kern w:val="0"/>
          <w:sz w:val="32"/>
          <w:szCs w:val="32"/>
        </w:rPr>
        <w:t>權案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776713">
        <w:rPr>
          <w:rFonts w:ascii="標楷體" w:eastAsia="標楷體" w:hAnsi="標楷體" w:cs="新細明體"/>
          <w:kern w:val="0"/>
          <w:sz w:val="32"/>
          <w:szCs w:val="32"/>
        </w:rPr>
        <w:t>天福聯名案</w:t>
      </w:r>
      <w:r w:rsidR="00CB6252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CB6252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56度金酒典藏珍品</w:t>
      </w:r>
      <w:proofErr w:type="gramStart"/>
      <w:r w:rsidR="00CB6252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樣品酒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案</w:t>
      </w:r>
      <w:r w:rsidRPr="00776713">
        <w:rPr>
          <w:rFonts w:ascii="標楷體" w:eastAsia="標楷體" w:hAnsi="標楷體" w:cs="新細明體"/>
          <w:kern w:val="0"/>
          <w:sz w:val="32"/>
          <w:szCs w:val="32"/>
        </w:rPr>
        <w:t>政</w:t>
      </w:r>
      <w:proofErr w:type="gramEnd"/>
      <w:r w:rsidRPr="00776713">
        <w:rPr>
          <w:rFonts w:ascii="標楷體" w:eastAsia="標楷體" w:hAnsi="標楷體" w:cs="新細明體"/>
          <w:kern w:val="0"/>
          <w:sz w:val="32"/>
          <w:szCs w:val="32"/>
        </w:rPr>
        <w:t>風查處專案報告</w:t>
      </w:r>
    </w:p>
    <w:p w:rsidR="00B62F3B" w:rsidRPr="00776713" w:rsidRDefault="00711024" w:rsidP="00B91CA6">
      <w:pPr>
        <w:pStyle w:val="ab"/>
        <w:widowControl/>
        <w:numPr>
          <w:ilvl w:val="0"/>
          <w:numId w:val="1"/>
        </w:numPr>
        <w:spacing w:beforeLines="50" w:before="180" w:line="520" w:lineRule="exact"/>
        <w:ind w:leftChars="0" w:left="850" w:hanging="839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前言</w:t>
      </w:r>
    </w:p>
    <w:p w:rsidR="00B62F3B" w:rsidRPr="00776713" w:rsidRDefault="008E3530" w:rsidP="008E3530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謹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承貴</w:t>
      </w:r>
      <w:proofErr w:type="gramEnd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會之命，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提報「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福</w:t>
      </w:r>
      <w:proofErr w:type="gramStart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矛酒業侵</w:t>
      </w:r>
      <w:proofErr w:type="gramEnd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權案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天福聯名案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0A260C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56度金酒典藏珍品</w:t>
      </w:r>
      <w:proofErr w:type="gramStart"/>
      <w:r w:rsidR="000A260C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樣品酒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案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政</w:t>
      </w:r>
      <w:proofErr w:type="gramEnd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風查處專案報告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B62F3B" w:rsidRDefault="008E3530" w:rsidP="008E3530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關福</w:t>
      </w:r>
      <w:proofErr w:type="gramStart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矛酒業侵</w:t>
      </w:r>
      <w:proofErr w:type="gramEnd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權案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(下</w:t>
      </w:r>
      <w:proofErr w:type="gramStart"/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稱福矛酒案</w:t>
      </w:r>
      <w:proofErr w:type="gramEnd"/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天福聯名案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(下稱天福案)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0A260C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56度金酒典藏珍品</w:t>
      </w:r>
      <w:proofErr w:type="gramStart"/>
      <w:r w:rsidR="000A260C" w:rsidRPr="00CB6252">
        <w:rPr>
          <w:rFonts w:ascii="標楷體" w:eastAsia="標楷體" w:hAnsi="標楷體" w:cs="新細明體" w:hint="eastAsia"/>
          <w:kern w:val="0"/>
          <w:sz w:val="32"/>
          <w:szCs w:val="32"/>
        </w:rPr>
        <w:t>樣品酒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案</w:t>
      </w:r>
      <w:proofErr w:type="gramEnd"/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(下稱</w:t>
      </w:r>
      <w:proofErr w:type="gramStart"/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樣品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酒案</w:t>
      </w:r>
      <w:proofErr w:type="gramEnd"/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貴會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年內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陸續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質詢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階段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，本處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即積極與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財政處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數度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同赴</w:t>
      </w:r>
      <w:r w:rsidR="00711024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金門酒廠實業股份有限公司(下稱金酒公司)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瞭解案情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始末，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又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本府財政處及金</w:t>
      </w:r>
      <w:r w:rsidR="002666BA">
        <w:rPr>
          <w:rFonts w:ascii="標楷體" w:eastAsia="標楷體" w:hAnsi="標楷體" w:cs="新細明體" w:hint="eastAsia"/>
          <w:kern w:val="0"/>
          <w:sz w:val="32"/>
          <w:szCs w:val="32"/>
        </w:rPr>
        <w:t>門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酒</w:t>
      </w:r>
      <w:r w:rsidR="002666BA">
        <w:rPr>
          <w:rFonts w:ascii="標楷體" w:eastAsia="標楷體" w:hAnsi="標楷體" w:cs="新細明體" w:hint="eastAsia"/>
          <w:kern w:val="0"/>
          <w:sz w:val="32"/>
          <w:szCs w:val="32"/>
        </w:rPr>
        <w:t>廠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廈門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貿易有限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公司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(下稱廈門公司)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於貴會第7屆第3次臨時會提報「天福聯名案專案報告」，第4次臨時會提報「福建福</w:t>
      </w:r>
      <w:proofErr w:type="gramStart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矛酒業侵</w:t>
      </w:r>
      <w:proofErr w:type="gramEnd"/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權調查專案報告」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、「</w:t>
      </w:r>
      <w:r w:rsidR="000A260C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56度金酒典藏珍品樣品酒調查報告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，上開報告有關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書面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陳述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及附錄相關佐證資料，與本處獲取附件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均同，鑑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此</w:t>
      </w:r>
      <w:r w:rsidR="00B62F3B" w:rsidRPr="00776713">
        <w:rPr>
          <w:rFonts w:ascii="標楷體" w:eastAsia="標楷體" w:hAnsi="標楷體" w:cs="新細明體"/>
          <w:kern w:val="0"/>
          <w:sz w:val="32"/>
          <w:szCs w:val="32"/>
        </w:rPr>
        <w:t>，本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案報告未再附列上開資料。</w:t>
      </w:r>
    </w:p>
    <w:p w:rsidR="008E3530" w:rsidRPr="000A260C" w:rsidRDefault="008E3530" w:rsidP="000A260C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兩案之查處事項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，除審閱財政處及廈門公司書面報告</w:t>
      </w:r>
      <w:r w:rsidR="007A4DC5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及附件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外，</w:t>
      </w:r>
      <w:proofErr w:type="gramStart"/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遵</w:t>
      </w:r>
      <w:proofErr w:type="gramEnd"/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貴會之指示，特就「侵權</w:t>
      </w:r>
      <w:r w:rsidR="00FE1607" w:rsidRPr="000A260C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、「聯名</w:t>
      </w:r>
      <w:r w:rsidR="00FE1607" w:rsidRPr="000A260C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乙節，請教</w:t>
      </w:r>
      <w:r w:rsidR="007A4DC5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多位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法學先進意見及蒐集相關研究，</w:t>
      </w:r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另「</w:t>
      </w:r>
      <w:proofErr w:type="gramStart"/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樣品酒案</w:t>
      </w:r>
      <w:proofErr w:type="gramEnd"/>
      <w:r w:rsidR="000A260C">
        <w:rPr>
          <w:rFonts w:ascii="標楷體" w:eastAsia="標楷體" w:hAnsi="標楷體" w:cs="新細明體" w:hint="eastAsia"/>
          <w:kern w:val="0"/>
          <w:sz w:val="32"/>
          <w:szCs w:val="32"/>
        </w:rPr>
        <w:t>」就</w:t>
      </w:r>
      <w:r w:rsidR="002D3A26">
        <w:rPr>
          <w:rFonts w:ascii="標楷體" w:eastAsia="標楷體" w:hAnsi="標楷體" w:cs="新細明體" w:hint="eastAsia"/>
          <w:kern w:val="0"/>
          <w:sz w:val="32"/>
          <w:szCs w:val="32"/>
        </w:rPr>
        <w:t>廈門公司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報告附件有關檢驗及處理</w:t>
      </w:r>
      <w:r w:rsidR="002D3A26">
        <w:rPr>
          <w:rFonts w:ascii="標楷體" w:eastAsia="標楷體" w:hAnsi="標楷體" w:cs="新細明體" w:hint="eastAsia"/>
          <w:kern w:val="0"/>
          <w:sz w:val="32"/>
          <w:szCs w:val="32"/>
        </w:rPr>
        <w:t>等節</w:t>
      </w:r>
      <w:proofErr w:type="gramStart"/>
      <w:r w:rsidR="002D3A26">
        <w:rPr>
          <w:rFonts w:ascii="標楷體" w:eastAsia="標楷體" w:hAnsi="標楷體" w:cs="新細明體" w:hint="eastAsia"/>
          <w:kern w:val="0"/>
          <w:sz w:val="32"/>
          <w:szCs w:val="32"/>
        </w:rPr>
        <w:t>併</w:t>
      </w:r>
      <w:proofErr w:type="gramEnd"/>
      <w:r w:rsidR="002D3A26">
        <w:rPr>
          <w:rFonts w:ascii="標楷體" w:eastAsia="標楷體" w:hAnsi="標楷體" w:cs="新細明體" w:hint="eastAsia"/>
          <w:kern w:val="0"/>
          <w:sz w:val="32"/>
          <w:szCs w:val="32"/>
        </w:rPr>
        <w:t>予檢視，</w:t>
      </w:r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彙整</w:t>
      </w:r>
      <w:proofErr w:type="gramStart"/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研</w:t>
      </w:r>
      <w:proofErr w:type="gramEnd"/>
      <w:r w:rsidR="00FE1607" w:rsidRPr="000A260C">
        <w:rPr>
          <w:rFonts w:ascii="標楷體" w:eastAsia="標楷體" w:hAnsi="標楷體" w:cs="新細明體" w:hint="eastAsia"/>
          <w:kern w:val="0"/>
          <w:sz w:val="32"/>
          <w:szCs w:val="32"/>
        </w:rPr>
        <w:t>提本報告。</w:t>
      </w:r>
    </w:p>
    <w:p w:rsidR="00B62F3B" w:rsidRPr="00776713" w:rsidRDefault="00B62F3B" w:rsidP="00B91CA6">
      <w:pPr>
        <w:pStyle w:val="ab"/>
        <w:widowControl/>
        <w:numPr>
          <w:ilvl w:val="0"/>
          <w:numId w:val="1"/>
        </w:numPr>
        <w:spacing w:beforeLines="50" w:before="180" w:line="520" w:lineRule="exact"/>
        <w:ind w:leftChars="0" w:left="850" w:hanging="839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/>
          <w:kern w:val="0"/>
          <w:sz w:val="32"/>
          <w:szCs w:val="32"/>
        </w:rPr>
        <w:t>福</w:t>
      </w:r>
      <w:proofErr w:type="gramStart"/>
      <w:r w:rsidRPr="00776713">
        <w:rPr>
          <w:rFonts w:ascii="標楷體" w:eastAsia="標楷體" w:hAnsi="標楷體" w:cs="新細明體"/>
          <w:kern w:val="0"/>
          <w:sz w:val="32"/>
          <w:szCs w:val="32"/>
        </w:rPr>
        <w:t>矛酒案</w:t>
      </w:r>
      <w:proofErr w:type="gramEnd"/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B62F3B" w:rsidRPr="00776713" w:rsidRDefault="00776713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查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案關實體酒品係</w:t>
      </w:r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金門宏玻陶瓷股份有限公司（下稱宏</w:t>
      </w:r>
      <w:proofErr w:type="gramStart"/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玻</w:t>
      </w:r>
      <w:proofErr w:type="gramEnd"/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公司</w:t>
      </w:r>
      <w:r w:rsidR="008E2187">
        <w:rPr>
          <w:rFonts w:ascii="標楷體" w:eastAsia="標楷體" w:hAnsi="標楷體" w:cs="新細明體"/>
          <w:kern w:val="0"/>
          <w:sz w:val="32"/>
          <w:szCs w:val="32"/>
        </w:rPr>
        <w:t>）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依</w:t>
      </w:r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金翔</w:t>
      </w:r>
      <w:proofErr w:type="gramEnd"/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國際有限公司（下稱金翔公司）委託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製作瓶身，並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="004164EA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108年5月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底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向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金酒公司</w:t>
      </w:r>
      <w:r w:rsidR="008E218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申請訂購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灌裝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主題性高粱酒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，其酒品主題為「兩岸同心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經貿交流紀念」，酒品容量為0.5L</w:t>
      </w:r>
      <w:r w:rsidR="00CB6252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（紅色封套）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採用酒基為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53度金門高粱酒，</w:t>
      </w:r>
      <w:r w:rsidR="00FE1607">
        <w:rPr>
          <w:rFonts w:ascii="標楷體" w:eastAsia="標楷體" w:hAnsi="標楷體" w:cs="新細明體" w:hint="eastAsia"/>
          <w:kern w:val="0"/>
          <w:sz w:val="32"/>
          <w:szCs w:val="32"/>
        </w:rPr>
        <w:t>其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下單</w:t>
      </w:r>
      <w:r w:rsidR="00FE1607">
        <w:rPr>
          <w:rFonts w:ascii="標楷體" w:eastAsia="標楷體" w:hAnsi="標楷體" w:cs="新細明體" w:hint="eastAsia"/>
          <w:kern w:val="0"/>
          <w:sz w:val="32"/>
          <w:szCs w:val="32"/>
        </w:rPr>
        <w:t>總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數量為1,500盒。金酒公司依</w:t>
      </w:r>
      <w:bookmarkStart w:id="0" w:name="_GoBack"/>
      <w:bookmarkEnd w:id="0"/>
      <w:proofErr w:type="gramStart"/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105年11月15日修頒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「國內地區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主題性酒品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訂製作業要點」</w:t>
      </w:r>
      <w:r w:rsidR="00FE1607">
        <w:rPr>
          <w:rFonts w:ascii="標楷體" w:eastAsia="標楷體" w:hAnsi="標楷體" w:cs="新細明體" w:hint="eastAsia"/>
          <w:kern w:val="0"/>
          <w:sz w:val="32"/>
          <w:szCs w:val="32"/>
        </w:rPr>
        <w:t>規定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同意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其申請</w:t>
      </w:r>
      <w:r w:rsidR="00FE1607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配合活動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灌裝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出貨供應。經瞭解，</w:t>
      </w:r>
      <w:r w:rsidR="00CB6252">
        <w:rPr>
          <w:rFonts w:ascii="標楷體" w:eastAsia="標楷體" w:hAnsi="標楷體" w:cs="新細明體" w:hint="eastAsia"/>
          <w:kern w:val="0"/>
          <w:sz w:val="32"/>
          <w:szCs w:val="32"/>
        </w:rPr>
        <w:t>宏</w:t>
      </w:r>
      <w:proofErr w:type="gramStart"/>
      <w:r w:rsidR="00CB6252">
        <w:rPr>
          <w:rFonts w:ascii="標楷體" w:eastAsia="標楷體" w:hAnsi="標楷體" w:cs="新細明體" w:hint="eastAsia"/>
          <w:kern w:val="0"/>
          <w:sz w:val="32"/>
          <w:szCs w:val="32"/>
        </w:rPr>
        <w:t>玻</w:t>
      </w:r>
      <w:proofErr w:type="gramEnd"/>
      <w:r w:rsidR="00CB6252">
        <w:rPr>
          <w:rFonts w:ascii="標楷體" w:eastAsia="標楷體" w:hAnsi="標楷體" w:cs="新細明體" w:hint="eastAsia"/>
          <w:kern w:val="0"/>
          <w:sz w:val="32"/>
          <w:szCs w:val="32"/>
        </w:rPr>
        <w:t>公司(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金翔公司</w:t>
      </w:r>
      <w:proofErr w:type="gramEnd"/>
      <w:r w:rsidR="00CB6252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訂製的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主題性酒品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1,500瓶已</w:t>
      </w:r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於108年6月24日交貨且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作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為兩岸同心經貿交流活動贈送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外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賓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運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用，</w:t>
      </w:r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迄今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尚</w:t>
      </w:r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無續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行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訂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製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該項酒品</w:t>
      </w:r>
      <w:proofErr w:type="gramEnd"/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等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情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事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B62F3B" w:rsidRPr="00776713" w:rsidRDefault="00776713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另查廈門公司108年6月17日與福建福矛酒業集團(下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稱福矛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集團)簽訂「合作意向協議書」，</w:t>
      </w:r>
      <w:r w:rsidR="007A4955">
        <w:rPr>
          <w:rFonts w:ascii="標楷體" w:eastAsia="標楷體" w:hAnsi="標楷體" w:cs="新細明體" w:hint="eastAsia"/>
          <w:kern w:val="0"/>
          <w:sz w:val="32"/>
          <w:szCs w:val="32"/>
        </w:rPr>
        <w:t>籌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劃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透過企業合作</w:t>
      </w:r>
      <w:r w:rsidR="00896037">
        <w:rPr>
          <w:rFonts w:ascii="標楷體" w:eastAsia="標楷體" w:hAnsi="標楷體" w:cs="新細明體" w:hint="eastAsia"/>
          <w:kern w:val="0"/>
          <w:sz w:val="32"/>
          <w:szCs w:val="32"/>
        </w:rPr>
        <w:t>模式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896037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兩岸同心酒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896037">
        <w:rPr>
          <w:rFonts w:ascii="標楷體" w:eastAsia="標楷體" w:hAnsi="標楷體" w:cs="新細明體" w:hint="eastAsia"/>
          <w:kern w:val="0"/>
          <w:sz w:val="32"/>
          <w:szCs w:val="32"/>
        </w:rPr>
        <w:t>主題運作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896037">
        <w:rPr>
          <w:rFonts w:ascii="標楷體" w:eastAsia="標楷體" w:hAnsi="標楷體" w:cs="新細明體" w:hint="eastAsia"/>
          <w:kern w:val="0"/>
          <w:sz w:val="32"/>
          <w:szCs w:val="32"/>
        </w:rPr>
        <w:t>作為</w:t>
      </w:r>
      <w:r w:rsidR="00896037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金酒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拓展</w:t>
      </w:r>
      <w:r w:rsidR="006B6A93">
        <w:rPr>
          <w:rFonts w:ascii="標楷體" w:eastAsia="標楷體" w:hAnsi="標楷體" w:cs="新細明體" w:hint="eastAsia"/>
          <w:kern w:val="0"/>
          <w:sz w:val="32"/>
          <w:szCs w:val="32"/>
        </w:rPr>
        <w:t>閩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陸市場</w:t>
      </w:r>
      <w:proofErr w:type="gramEnd"/>
      <w:r w:rsidR="006B6A93">
        <w:rPr>
          <w:rFonts w:ascii="標楷體" w:eastAsia="標楷體" w:hAnsi="標楷體" w:cs="新細明體" w:hint="eastAsia"/>
          <w:kern w:val="0"/>
          <w:sz w:val="32"/>
          <w:szCs w:val="32"/>
        </w:rPr>
        <w:t>的行銷策略之</w:t>
      </w:r>
      <w:proofErr w:type="gramStart"/>
      <w:r w:rsidR="006B6A93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惟</w:t>
      </w:r>
      <w:proofErr w:type="gramEnd"/>
      <w:r w:rsidR="006B6A93">
        <w:rPr>
          <w:rFonts w:ascii="標楷體" w:eastAsia="標楷體" w:hAnsi="標楷體" w:cs="新細明體" w:hint="eastAsia"/>
          <w:kern w:val="0"/>
          <w:sz w:val="32"/>
          <w:szCs w:val="32"/>
        </w:rPr>
        <w:t>事後雙方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DF6203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108年8月17日前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因</w:t>
      </w:r>
      <w:r w:rsidR="00DF6203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無法就合作事項正式簽訂合作協議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，依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合作意向協議書第三條第四款規定：「自本意向書簽訂之日起兩個月內，甲乙雙方就合作事項具體事宜正式簽訂合作協議，逾期，則本意向書自動終止。」廈門分公司於108年8月22日函知福矛集團：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終止本合作意向。</w:t>
      </w:r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B62F3B" w:rsidRPr="00776713" w:rsidRDefault="00776713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按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「合作意向書」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Memorandum of understanding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簡稱MOU</w:t>
      </w:r>
      <w:r w:rsidR="00DF6203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="00DF620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維基百科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譯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為「諒解備忘錄」，亦有稱「合作備忘錄」。</w:t>
      </w:r>
      <w:proofErr w:type="gramStart"/>
      <w:r w:rsidR="00711024">
        <w:rPr>
          <w:rFonts w:ascii="標楷體" w:eastAsia="標楷體" w:hAnsi="標楷體" w:cs="新細明體" w:hint="eastAsia"/>
          <w:kern w:val="0"/>
          <w:sz w:val="32"/>
          <w:szCs w:val="32"/>
        </w:rPr>
        <w:t>參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據司法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新聲第48期學員法學研究報告</w:t>
      </w:r>
      <w:hyperlink r:id="rId8" w:tooltip="《預約法律性質之研究─以我國實務見解為中心》" w:history="1">
        <w:r w:rsidR="00B62F3B" w:rsidRPr="00776713">
          <w:rPr>
            <w:rFonts w:ascii="標楷體" w:eastAsia="標楷體" w:hAnsi="標楷體" w:cs="新細明體" w:hint="eastAsia"/>
            <w:kern w:val="0"/>
            <w:sz w:val="32"/>
            <w:szCs w:val="32"/>
          </w:rPr>
          <w:t>《預約法律性質之研究─</w:t>
        </w:r>
      </w:hyperlink>
      <w:hyperlink r:id="rId9" w:tooltip="《預約法律性質之研究─以我國實務見解為中心》" w:history="1">
        <w:r w:rsidR="00B62F3B" w:rsidRPr="00776713">
          <w:rPr>
            <w:rFonts w:ascii="標楷體" w:eastAsia="標楷體" w:hAnsi="標楷體" w:cs="新細明體" w:hint="eastAsia"/>
            <w:kern w:val="0"/>
            <w:sz w:val="32"/>
            <w:szCs w:val="32"/>
          </w:rPr>
          <w:t>以我國實務見解為中心》</w:t>
        </w:r>
      </w:hyperlink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，指出「</w:t>
      </w:r>
      <w:r w:rsidR="00DF6203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意向書或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備忘錄僅僅表明締約雙方在談判過程中所呈現出來的意志，作為將來簽訂正式契約的基礎，但簽署這些文件並不意味著雙方已做出任何法律上的承諾，只能算是一種君子協議（gentlemen</w:t>
      </w:r>
      <w:r w:rsidR="00D04DC4">
        <w:rPr>
          <w:rFonts w:ascii="Malgun Gothic" w:eastAsia="Malgun Gothic" w:hAnsi="Malgun Gothic" w:cs="新細明體" w:hint="eastAsia"/>
          <w:kern w:val="0"/>
          <w:sz w:val="32"/>
          <w:szCs w:val="32"/>
        </w:rPr>
        <w:t>'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s agreement）</w:t>
      </w:r>
      <w:r w:rsidR="00B62F3B" w:rsidRPr="00776713">
        <w:rPr>
          <w:rFonts w:ascii="MS Gothic" w:eastAsia="標楷體" w:hAnsi="MS Gothic" w:cs="MS Gothic"/>
          <w:kern w:val="0"/>
          <w:sz w:val="32"/>
          <w:szCs w:val="32"/>
        </w:rPr>
        <w:t>⋯⋯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」。</w:t>
      </w:r>
      <w:r w:rsidR="00D04DC4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意向書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通常都會有所保留，最終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簽定的合約，才真的具備法律拘束力。</w:t>
      </w:r>
      <w:proofErr w:type="gramStart"/>
      <w:r w:rsidR="00D04DC4">
        <w:rPr>
          <w:rFonts w:ascii="標楷體" w:eastAsia="標楷體" w:hAnsi="標楷體" w:cs="新細明體" w:hint="eastAsia"/>
          <w:kern w:val="0"/>
          <w:sz w:val="32"/>
          <w:szCs w:val="32"/>
        </w:rPr>
        <w:t>參上</w:t>
      </w:r>
      <w:proofErr w:type="gramEnd"/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，本案廈門公司與福矛集團合作意向書雙方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已表達合作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終止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復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合作意向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協議期間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未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正式簽訂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契約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確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不具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任何</w:t>
      </w:r>
      <w:r w:rsidR="00B62F3B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法律效力。</w:t>
      </w:r>
    </w:p>
    <w:p w:rsidR="00823DEF" w:rsidRDefault="00776713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四、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又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商標侵權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是指行為人未經商標權人許可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在相同或類似商品上使用與其註冊商標相同或近似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商標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或其他干涉、妨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礙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商標權人使用其註冊商標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，損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害商標權人合法權益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09718E" w:rsidRPr="00776713">
        <w:rPr>
          <w:rFonts w:ascii="標楷體" w:eastAsia="標楷體" w:hAnsi="標楷體" w:cs="新細明體"/>
          <w:kern w:val="0"/>
          <w:sz w:val="32"/>
          <w:szCs w:val="32"/>
        </w:rPr>
        <w:t>其他行為。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查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本案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108年6月17日兩岸同心經貿交流活動陳列之實際產品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="007A4DC5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金翔公司</w:t>
      </w:r>
      <w:proofErr w:type="gramEnd"/>
      <w:r w:rsidR="007A4DC5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訂製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，以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金酒公司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灌裝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之主題性0.5L-53度金門高粱酒（紅色封套）與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福矛酒業</w:t>
      </w:r>
      <w:proofErr w:type="gramEnd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10年金色螺紋瓶蓋酒品，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惟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陸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方</w:t>
      </w:r>
      <w:proofErr w:type="gramEnd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的宣傳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圖稿卻係</w:t>
      </w:r>
      <w:proofErr w:type="gramEnd"/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引用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相同的金色瓶螺紋瓶蓋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造型瓷瓶示意</w:t>
      </w:r>
      <w:proofErr w:type="gramEnd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灌</w:t>
      </w:r>
      <w:proofErr w:type="gramStart"/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裝福矛10年酒跟</w:t>
      </w:r>
      <w:proofErr w:type="gramEnd"/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金酒</w:t>
      </w:r>
      <w:r w:rsidR="00823DEF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公司5年陳高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企圖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表達雙方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合作意向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查</w:t>
      </w:r>
      <w:r w:rsidR="0009718E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雙方之合作協議於2019年8月17日終止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是時之</w:t>
      </w: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宣傳</w:t>
      </w:r>
      <w:proofErr w:type="gramStart"/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圖稿如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經</w:t>
      </w:r>
      <w:proofErr w:type="gramEnd"/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廈門</w:t>
      </w: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公司許可，且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尚</w:t>
      </w: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未有實際損害發生，可否依「</w:t>
      </w:r>
      <w:r w:rsidRPr="00776713">
        <w:rPr>
          <w:rFonts w:ascii="標楷體" w:eastAsia="標楷體" w:hAnsi="標楷體" w:cs="新細明體"/>
          <w:kern w:val="0"/>
          <w:sz w:val="32"/>
          <w:szCs w:val="32"/>
        </w:rPr>
        <w:t>商標侵權</w:t>
      </w: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」求償，</w:t>
      </w:r>
      <w:r w:rsidR="00B61B8E"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r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疑義。</w:t>
      </w:r>
    </w:p>
    <w:p w:rsidR="004164EA" w:rsidRPr="004164EA" w:rsidRDefault="004164EA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五、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末查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，我國與大陸地區有關商標權之認定，均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「註冊」主義，本案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酒品款如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未在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我國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大陸地區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完成商標註冊，依法界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專業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人士意見，</w:t>
      </w:r>
      <w:proofErr w:type="gramStart"/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認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尚難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謂有「侵害商標權」。</w:t>
      </w:r>
    </w:p>
    <w:p w:rsidR="00776713" w:rsidRPr="002501C6" w:rsidRDefault="00B61B8E" w:rsidP="00A72CB4">
      <w:pPr>
        <w:pStyle w:val="ab"/>
        <w:widowControl/>
        <w:spacing w:line="520" w:lineRule="exact"/>
        <w:ind w:leftChars="0" w:left="851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註</w:t>
      </w:r>
      <w:proofErr w:type="gramEnd"/>
      <w:r w:rsidR="002501C6"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、參考法條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及見解</w:t>
      </w:r>
      <w:r w:rsidR="002501C6"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B61B8E" w:rsidRDefault="002501C6" w:rsidP="00B61B8E">
      <w:pPr>
        <w:pStyle w:val="ab"/>
        <w:widowControl/>
        <w:spacing w:line="520" w:lineRule="exact"/>
        <w:ind w:leftChars="591" w:left="2058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72CB4">
        <w:rPr>
          <w:rFonts w:ascii="標楷體" w:eastAsia="標楷體" w:hAnsi="標楷體" w:cs="新細明體" w:hint="eastAsia"/>
          <w:kern w:val="0"/>
          <w:sz w:val="32"/>
          <w:szCs w:val="32"/>
        </w:rPr>
        <w:t>我國</w:t>
      </w:r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商標法第68條：未經商標權人同意，為行銷目的而有下列情形之一，為侵害商標權：</w:t>
      </w:r>
    </w:p>
    <w:p w:rsidR="00B61B8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、於同一商品或服務，使用相同於註冊商標之商標者。</w:t>
      </w:r>
    </w:p>
    <w:p w:rsidR="00B61B8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2</w:t>
      </w:r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、於類似之商品或服務，使用相同於註冊商標之商標，有致相關消費者混淆誤認之虞者。</w:t>
      </w:r>
    </w:p>
    <w:p w:rsidR="002501C6" w:rsidRPr="002501C6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、於同一或類似之商品或服務，使用近似於註冊商標之商標，有致相關消費者混淆誤認之虞者。</w:t>
      </w:r>
    </w:p>
    <w:p w:rsidR="00656D6E" w:rsidRDefault="002501C6" w:rsidP="00656D6E">
      <w:pPr>
        <w:pStyle w:val="ab"/>
        <w:widowControl/>
        <w:spacing w:line="520" w:lineRule="exact"/>
        <w:ind w:leftChars="591" w:left="2058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(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="00A72CB4" w:rsidRPr="00A72CB4">
        <w:rPr>
          <w:rFonts w:ascii="標楷體" w:eastAsia="標楷體" w:hAnsi="標楷體" w:cs="新細明體" w:hint="eastAsia"/>
          <w:kern w:val="0"/>
          <w:sz w:val="32"/>
          <w:szCs w:val="32"/>
        </w:rPr>
        <w:t>大陸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商標法第57條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有下列行為之</w:t>
      </w:r>
      <w:proofErr w:type="gramStart"/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一</w:t>
      </w:r>
      <w:proofErr w:type="gramEnd"/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的，</w:t>
      </w:r>
      <w:proofErr w:type="gramStart"/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均屬侵犯</w:t>
      </w:r>
      <w:proofErr w:type="gramEnd"/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註冊商標專用權：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1、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未經商標註冊人的許可，在同一種商品上使用與其註冊商標相同的商標的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2、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未經商標註冊人的許可，在同一種商品上使用與其註冊商標近似的商標，或者在類似商品上使用與其註冊商標相同或者近似的商標，容易導致混淆的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3、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銷售侵犯註冊商標專用權的商品的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4、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偽造、擅自製造他人註冊商標標識或者銷售偽造、擅自製造的註冊商標標識的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5、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未經商標註冊人同意，更換其註冊商標並將該更換商標的商品又投入市場的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6、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故意為侵犯他人商標專用權行為提供便利條件，幫助他人實施侵犯商標專用權行為的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72CB4" w:rsidRDefault="00656D6E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7、</w:t>
      </w:r>
      <w:r w:rsidR="00A72CB4" w:rsidRPr="00A72CB4">
        <w:rPr>
          <w:rFonts w:ascii="標楷體" w:eastAsia="標楷體" w:hAnsi="標楷體" w:cs="新細明體"/>
          <w:kern w:val="0"/>
          <w:sz w:val="32"/>
          <w:szCs w:val="32"/>
        </w:rPr>
        <w:t>給他人的註冊商標專用權造成其他損害</w:t>
      </w:r>
      <w:r w:rsidR="00A72CB4" w:rsidRPr="00A72CB4">
        <w:rPr>
          <w:rFonts w:ascii="標楷體" w:eastAsia="標楷體" w:hAnsi="標楷體" w:cs="新細明體" w:hint="eastAsia"/>
          <w:kern w:val="0"/>
          <w:sz w:val="32"/>
          <w:szCs w:val="32"/>
        </w:rPr>
        <w:t>的。</w:t>
      </w:r>
    </w:p>
    <w:p w:rsidR="007362F4" w:rsidRPr="002501C6" w:rsidRDefault="00A72CB4" w:rsidP="00656D6E">
      <w:pPr>
        <w:pStyle w:val="ab"/>
        <w:widowControl/>
        <w:spacing w:line="520" w:lineRule="exact"/>
        <w:ind w:leftChars="591" w:left="2058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法學專家意見：</w:t>
      </w:r>
      <w:r w:rsidR="002501C6"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對方公司為大陸地區登記之公司，行為地在大陸地區，程序上我國法院有無管轄權、實體上是否適用我國法或大陸地區法律</w:t>
      </w:r>
      <w:r w:rsidR="00656D6E">
        <w:rPr>
          <w:rFonts w:ascii="標楷體" w:eastAsia="標楷體" w:hAnsi="標楷體" w:cs="新細明體"/>
          <w:kern w:val="0"/>
          <w:sz w:val="32"/>
          <w:szCs w:val="32"/>
        </w:rPr>
        <w:t>?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容</w:t>
      </w:r>
      <w:r w:rsidR="002501C6" w:rsidRPr="002501C6">
        <w:rPr>
          <w:rFonts w:ascii="標楷體" w:eastAsia="標楷體" w:hAnsi="標楷體" w:cs="新細明體" w:hint="eastAsia"/>
          <w:kern w:val="0"/>
          <w:sz w:val="32"/>
          <w:szCs w:val="32"/>
        </w:rPr>
        <w:t>有爭議。</w:t>
      </w:r>
    </w:p>
    <w:p w:rsidR="00B62F3B" w:rsidRPr="007362F4" w:rsidRDefault="00B62F3B" w:rsidP="00B91CA6">
      <w:pPr>
        <w:pStyle w:val="a3"/>
        <w:numPr>
          <w:ilvl w:val="0"/>
          <w:numId w:val="1"/>
        </w:numPr>
        <w:spacing w:beforeLines="50" w:before="180" w:line="520" w:lineRule="exact"/>
        <w:ind w:left="0" w:firstLine="0"/>
        <w:jc w:val="both"/>
        <w:rPr>
          <w:rFonts w:ascii="標楷體" w:hAnsi="標楷體"/>
          <w:szCs w:val="32"/>
        </w:rPr>
      </w:pPr>
      <w:r w:rsidRPr="007362F4">
        <w:rPr>
          <w:rFonts w:ascii="標楷體" w:hAnsi="標楷體" w:cs="新細明體"/>
          <w:szCs w:val="32"/>
        </w:rPr>
        <w:t>天福案</w:t>
      </w:r>
      <w:r w:rsidR="00562DA5">
        <w:rPr>
          <w:rFonts w:ascii="標楷體" w:hAnsi="標楷體" w:cs="新細明體" w:hint="eastAsia"/>
          <w:szCs w:val="32"/>
        </w:rPr>
        <w:t>：</w:t>
      </w:r>
    </w:p>
    <w:p w:rsidR="00656D6E" w:rsidRDefault="00661AAC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一、查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本案相關事項，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法務部調查局福建省調查處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(下稱福建處)</w:t>
      </w:r>
      <w:r w:rsidR="00562DA5">
        <w:rPr>
          <w:rFonts w:ascii="標楷體" w:eastAsia="標楷體" w:hAnsi="標楷體" w:cs="新細明體" w:hint="eastAsia"/>
          <w:kern w:val="0"/>
          <w:sz w:val="32"/>
          <w:szCs w:val="32"/>
        </w:rPr>
        <w:t>已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於108年9月5日</w:t>
      </w:r>
      <w:proofErr w:type="gramStart"/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捷廉字</w:t>
      </w:r>
      <w:proofErr w:type="gramEnd"/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第10882518350號</w:t>
      </w:r>
      <w:proofErr w:type="gramStart"/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函請金酒</w:t>
      </w:r>
      <w:proofErr w:type="gramEnd"/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公司提供與「大陸天福集團」合作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全案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資料，金酒公司於108年10月5日檢送</w:t>
      </w:r>
      <w:r w:rsidR="007A4DC5">
        <w:rPr>
          <w:rFonts w:ascii="標楷體" w:eastAsia="標楷體" w:hAnsi="標楷體" w:cs="新細明體" w:hint="eastAsia"/>
          <w:kern w:val="0"/>
          <w:sz w:val="32"/>
          <w:szCs w:val="32"/>
        </w:rPr>
        <w:t>如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下資料：</w:t>
      </w:r>
    </w:p>
    <w:p w:rsidR="00656D6E" w:rsidRDefault="00B62F3B" w:rsidP="00656D6E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(</w:t>
      </w:r>
      <w:proofErr w:type="gramStart"/>
      <w:r w:rsidRPr="007362F4">
        <w:rPr>
          <w:rFonts w:ascii="標楷體" w:eastAsia="標楷體" w:hAnsi="標楷體" w:cs="新細明體"/>
          <w:kern w:val="0"/>
          <w:sz w:val="32"/>
          <w:szCs w:val="32"/>
        </w:rPr>
        <w:t>一</w:t>
      </w:r>
      <w:proofErr w:type="gramEnd"/>
      <w:r w:rsidRPr="007362F4">
        <w:rPr>
          <w:rFonts w:ascii="標楷體" w:eastAsia="標楷體" w:hAnsi="標楷體" w:cs="新細明體"/>
          <w:kern w:val="0"/>
          <w:sz w:val="32"/>
          <w:szCs w:val="32"/>
        </w:rPr>
        <w:t>)公司業務處合作缘由資料(計11頁</w:t>
      </w:r>
      <w:r w:rsidR="00E83E6D" w:rsidRPr="007362F4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B62F3B" w:rsidP="00656D6E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(二)公司總務處合約及相關簽辦文件資料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656D6E" w:rsidRDefault="00B62F3B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1、建廠67年紀念酒(計37頁)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56D6E" w:rsidRDefault="00B62F3B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2、1.5L-58度一心無二金門高粱酒(計82頁)。</w:t>
      </w:r>
    </w:p>
    <w:p w:rsidR="00656D6E" w:rsidRDefault="00B62F3B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3、1.5L-53度一心無二金門</w:t>
      </w:r>
      <w:proofErr w:type="gramStart"/>
      <w:r w:rsidRPr="007362F4">
        <w:rPr>
          <w:rFonts w:ascii="標楷體" w:eastAsia="標楷體" w:hAnsi="標楷體" w:cs="新細明體"/>
          <w:kern w:val="0"/>
          <w:sz w:val="32"/>
          <w:szCs w:val="32"/>
        </w:rPr>
        <w:t>高梁</w:t>
      </w:r>
      <w:proofErr w:type="gramEnd"/>
      <w:r w:rsidRPr="007362F4">
        <w:rPr>
          <w:rFonts w:ascii="標楷體" w:eastAsia="標楷體" w:hAnsi="標楷體" w:cs="新細明體"/>
          <w:kern w:val="0"/>
          <w:sz w:val="32"/>
          <w:szCs w:val="32"/>
        </w:rPr>
        <w:t>酒(計74頁)。</w:t>
      </w:r>
    </w:p>
    <w:p w:rsidR="00656D6E" w:rsidRDefault="00B62F3B" w:rsidP="00656D6E">
      <w:pPr>
        <w:pStyle w:val="ab"/>
        <w:widowControl/>
        <w:spacing w:line="520" w:lineRule="exact"/>
        <w:ind w:leftChars="886" w:left="2552" w:hangingChars="133" w:hanging="42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4、0.5-58度喜宴金門</w:t>
      </w:r>
      <w:proofErr w:type="gramStart"/>
      <w:r w:rsidRPr="007362F4">
        <w:rPr>
          <w:rFonts w:ascii="標楷體" w:eastAsia="標楷體" w:hAnsi="標楷體" w:cs="新細明體"/>
          <w:kern w:val="0"/>
          <w:sz w:val="32"/>
          <w:szCs w:val="32"/>
        </w:rPr>
        <w:t>高梁</w:t>
      </w:r>
      <w:proofErr w:type="gramEnd"/>
      <w:r w:rsidRPr="007362F4">
        <w:rPr>
          <w:rFonts w:ascii="標楷體" w:eastAsia="標楷體" w:hAnsi="標楷體" w:cs="新細明體"/>
          <w:kern w:val="0"/>
          <w:sz w:val="32"/>
          <w:szCs w:val="32"/>
        </w:rPr>
        <w:t>酒(計76頁)。</w:t>
      </w:r>
    </w:p>
    <w:p w:rsidR="00B62F3B" w:rsidRPr="007362F4" w:rsidRDefault="00B62F3B" w:rsidP="00656D6E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362F4">
        <w:rPr>
          <w:rFonts w:ascii="標楷體" w:eastAsia="標楷體" w:hAnsi="標楷體" w:cs="新細明體"/>
          <w:kern w:val="0"/>
          <w:sz w:val="32"/>
          <w:szCs w:val="32"/>
        </w:rPr>
        <w:t>(三)金酒(廈門)貿易有限公司與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Pr="007362F4">
        <w:rPr>
          <w:rFonts w:ascii="標楷體" w:eastAsia="標楷體" w:hAnsi="標楷體" w:cs="新細明體"/>
          <w:kern w:val="0"/>
          <w:sz w:val="32"/>
          <w:szCs w:val="32"/>
        </w:rPr>
        <w:t>大陸天福集團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Pr="007362F4">
        <w:rPr>
          <w:rFonts w:ascii="標楷體" w:eastAsia="標楷體" w:hAnsi="標楷體" w:cs="新細明體"/>
          <w:kern w:val="0"/>
          <w:sz w:val="32"/>
          <w:szCs w:val="32"/>
        </w:rPr>
        <w:t>合作相關資料(包含訂單及匯款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資料</w:t>
      </w:r>
      <w:r w:rsidRPr="007362F4">
        <w:rPr>
          <w:rFonts w:ascii="標楷體" w:eastAsia="標楷體" w:hAnsi="標楷體" w:cs="新細明體"/>
          <w:kern w:val="0"/>
          <w:sz w:val="32"/>
          <w:szCs w:val="32"/>
        </w:rPr>
        <w:t>計255頁)。</w:t>
      </w:r>
    </w:p>
    <w:p w:rsidR="001A354A" w:rsidRPr="007362F4" w:rsidRDefault="00661AAC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二、是</w:t>
      </w:r>
      <w:r w:rsidR="00E83E6D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本案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福建處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已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受理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調查，本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府(</w:t>
      </w:r>
      <w:r w:rsidR="005D553F" w:rsidRPr="007362F4">
        <w:rPr>
          <w:rFonts w:ascii="標楷體" w:eastAsia="標楷體" w:hAnsi="標楷體" w:cs="新細明體"/>
          <w:kern w:val="0"/>
          <w:sz w:val="32"/>
          <w:szCs w:val="32"/>
        </w:rPr>
        <w:t>處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尊重司法機關調查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程序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，並配合相關</w:t>
      </w:r>
      <w:proofErr w:type="gramStart"/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調卷或其他</w:t>
      </w:r>
      <w:proofErr w:type="gramEnd"/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司法處分作為；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案內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謹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就</w:t>
      </w:r>
      <w:proofErr w:type="gramEnd"/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本案</w:t>
      </w:r>
      <w:r w:rsidR="00E83E6D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聯名</w:t>
      </w:r>
      <w:r w:rsidR="00E83E6D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事項</w:t>
      </w:r>
      <w:proofErr w:type="gramStart"/>
      <w:r w:rsidR="005D553F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詢</w:t>
      </w:r>
      <w:proofErr w:type="gramEnd"/>
      <w:r w:rsidR="00E83E6D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查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判決</w:t>
      </w:r>
      <w:r w:rsidR="00951FE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見解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951FE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法律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研究</w:t>
      </w:r>
      <w:r w:rsidR="00E83E6D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徵詢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法律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專業人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士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意見，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謹</w:t>
      </w:r>
      <w:proofErr w:type="gramStart"/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擇要彙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述如次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C03602" w:rsidRPr="007362F4" w:rsidRDefault="00661AAC" w:rsidP="00A72CB4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依智慧財產法院108年5月16日107年</w:t>
      </w:r>
      <w:proofErr w:type="gramStart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行商訴字第89號</w:t>
      </w:r>
      <w:proofErr w:type="gramEnd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行政判決：「</w:t>
      </w:r>
      <w:r w:rsidR="001A354A" w:rsidRPr="007362F4">
        <w:rPr>
          <w:rFonts w:ascii="標楷體" w:eastAsia="標楷體" w:hAnsi="標楷體" w:cs="新細明體"/>
          <w:kern w:val="0"/>
          <w:sz w:val="32"/>
          <w:szCs w:val="32"/>
        </w:rPr>
        <w:t>商標所表彰者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1A354A" w:rsidRPr="007362F4">
        <w:rPr>
          <w:rFonts w:ascii="標楷體" w:eastAsia="標楷體" w:hAnsi="標楷體" w:cs="新細明體"/>
          <w:kern w:val="0"/>
          <w:sz w:val="32"/>
          <w:szCs w:val="32"/>
        </w:rPr>
        <w:t>並不以商標權人自己所生產製造之商品為限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1A354A" w:rsidRPr="007362F4">
        <w:rPr>
          <w:rFonts w:ascii="標楷體" w:eastAsia="標楷體" w:hAnsi="標楷體" w:cs="新細明體"/>
          <w:kern w:val="0"/>
          <w:sz w:val="32"/>
          <w:szCs w:val="32"/>
        </w:rPr>
        <w:t>被授權人有使用者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1A354A" w:rsidRPr="007362F4">
        <w:rPr>
          <w:rFonts w:ascii="標楷體" w:eastAsia="標楷體" w:hAnsi="標楷體" w:cs="新細明體"/>
          <w:kern w:val="0"/>
          <w:sz w:val="32"/>
          <w:szCs w:val="32"/>
        </w:rPr>
        <w:t>亦包含在內</w:t>
      </w:r>
      <w:r w:rsidR="00C03602" w:rsidRPr="007362F4">
        <w:rPr>
          <w:rFonts w:ascii="標楷體" w:eastAsia="標楷體" w:hAnsi="標楷體" w:cs="新細明體"/>
          <w:kern w:val="0"/>
          <w:sz w:val="32"/>
          <w:szCs w:val="32"/>
        </w:rPr>
        <w:t>在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C03602" w:rsidRPr="007362F4">
        <w:rPr>
          <w:rFonts w:ascii="標楷體" w:eastAsia="標楷體" w:hAnsi="標楷體" w:cs="新細明體"/>
          <w:kern w:val="0"/>
          <w:sz w:val="32"/>
          <w:szCs w:val="32"/>
        </w:rPr>
        <w:t>現今商業活動多元化、跨界合作甚為普遍之商方於各自領域之知名度擴大消費族群,並進而擴張知名度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C03602" w:rsidRPr="007362F4">
        <w:rPr>
          <w:rFonts w:ascii="標楷體" w:eastAsia="標楷體" w:hAnsi="標楷體" w:cs="新細明體"/>
          <w:kern w:val="0"/>
          <w:sz w:val="32"/>
          <w:szCs w:val="32"/>
        </w:rPr>
        <w:t>因此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C03602" w:rsidRPr="007362F4">
        <w:rPr>
          <w:rFonts w:ascii="標楷體" w:eastAsia="標楷體" w:hAnsi="標楷體" w:cs="新細明體"/>
          <w:kern w:val="0"/>
          <w:sz w:val="32"/>
          <w:szCs w:val="32"/>
        </w:rPr>
        <w:t>複數商標合併使用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係</w:t>
      </w:r>
      <w:r w:rsidR="00C03602" w:rsidRPr="007362F4">
        <w:rPr>
          <w:rFonts w:ascii="標楷體" w:eastAsia="標楷體" w:hAnsi="標楷體" w:cs="新細明體"/>
          <w:kern w:val="0"/>
          <w:sz w:val="32"/>
          <w:szCs w:val="32"/>
        </w:rPr>
        <w:t>符合現今商業活動之交易習慣</w:t>
      </w:r>
      <w:r w:rsidR="00C03602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」是</w:t>
      </w:r>
      <w:proofErr w:type="gramStart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proofErr w:type="gramEnd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，司法實務肯定</w:t>
      </w:r>
      <w:r w:rsidR="001A354A" w:rsidRPr="007362F4">
        <w:rPr>
          <w:rFonts w:ascii="標楷體" w:eastAsia="標楷體" w:hAnsi="標楷體" w:cs="新細明體"/>
          <w:kern w:val="0"/>
          <w:sz w:val="32"/>
          <w:szCs w:val="32"/>
        </w:rPr>
        <w:t>複數商標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(聯名)之交易習慣。</w:t>
      </w:r>
    </w:p>
    <w:p w:rsidR="00CC53A3" w:rsidRDefault="00661AAC" w:rsidP="00A72CB4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(二)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國立中山大學企管學系研究生</w:t>
      </w:r>
      <w:proofErr w:type="gramStart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呂珈</w:t>
      </w:r>
      <w:proofErr w:type="gramEnd"/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芳碩士論文「跨界聯名對於企業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整體評價影響之研究</w:t>
      </w:r>
      <w:r w:rsidR="001A354A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第16頁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CC53A3" w:rsidRPr="007362F4">
        <w:rPr>
          <w:rFonts w:ascii="標楷體" w:eastAsia="標楷體" w:hAnsi="標楷體" w:cs="新細明體"/>
          <w:kern w:val="0"/>
          <w:sz w:val="32"/>
          <w:szCs w:val="32"/>
        </w:rPr>
        <w:t>為了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獲取</w:t>
      </w:r>
      <w:r w:rsidR="00CC53A3" w:rsidRPr="007362F4">
        <w:rPr>
          <w:rFonts w:ascii="標楷體" w:eastAsia="標楷體" w:hAnsi="標楷體" w:cs="新細明體"/>
          <w:kern w:val="0"/>
          <w:sz w:val="32"/>
          <w:szCs w:val="32"/>
        </w:rPr>
        <w:t>生存機會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CC53A3" w:rsidRPr="007362F4">
        <w:rPr>
          <w:rFonts w:ascii="標楷體" w:eastAsia="標楷體" w:hAnsi="標楷體" w:cs="新細明體"/>
          <w:kern w:val="0"/>
          <w:sz w:val="32"/>
          <w:szCs w:val="32"/>
        </w:rPr>
        <w:t>企業往往需要降低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成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本與分散風險，特別是跨國公司要進入其他國家市場時，所需付出的成本及風險將會更大，為了降低失敗的機率，許多企業往往會選擇與其他同業組合品牌聯盟</w:t>
      </w:r>
      <w:r w:rsidR="00CC53A3" w:rsidRPr="007362F4">
        <w:rPr>
          <w:rFonts w:ascii="標楷體" w:eastAsia="標楷體" w:hAnsi="標楷體" w:cs="新細明體"/>
          <w:kern w:val="0"/>
          <w:sz w:val="32"/>
          <w:szCs w:val="32"/>
        </w:rPr>
        <w:t>(brand alliance)</w:t>
      </w:r>
      <w:r w:rsidR="00CC53A3" w:rsidRPr="00CC53A3">
        <w:rPr>
          <w:rFonts w:ascii="標楷體" w:eastAsia="標楷體" w:hAnsi="標楷體" w:cs="新細明體"/>
          <w:kern w:val="0"/>
          <w:sz w:val="32"/>
          <w:szCs w:val="32"/>
        </w:rPr>
        <w:t>。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」惟聯合品牌有其效益與風險，</w:t>
      </w:r>
      <w:r w:rsidR="00CE4F9C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CC53A3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並非</w:t>
      </w:r>
      <w:r w:rsidR="00CE4F9C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毫無壞處，若是兩個品牌之間不具備一定的</w:t>
      </w:r>
      <w:proofErr w:type="gramStart"/>
      <w:r w:rsidR="00CE4F9C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適配度</w:t>
      </w:r>
      <w:proofErr w:type="gramEnd"/>
      <w:r w:rsidR="00CE4F9C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，便會因此影響到消費者對聯合品牌與另外一個品牌的知覺與評價。」</w:t>
      </w:r>
      <w:r w:rsidR="007362F4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此係</w:t>
      </w:r>
      <w:r w:rsidR="007362F4" w:rsidRPr="007362F4">
        <w:rPr>
          <w:rFonts w:ascii="標楷體" w:eastAsia="標楷體" w:hAnsi="標楷體" w:cs="新細明體"/>
          <w:kern w:val="0"/>
          <w:sz w:val="32"/>
          <w:szCs w:val="32"/>
        </w:rPr>
        <w:t>公司經營策略</w:t>
      </w:r>
      <w:r w:rsidR="007362F4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之選擇。</w:t>
      </w:r>
    </w:p>
    <w:p w:rsidR="00661AAC" w:rsidRPr="00CC53A3" w:rsidRDefault="00661AAC" w:rsidP="00A72CB4">
      <w:pPr>
        <w:pStyle w:val="ab"/>
        <w:widowControl/>
        <w:spacing w:line="520" w:lineRule="exact"/>
        <w:ind w:leftChars="617" w:left="2127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(三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法律專家意見：</w:t>
      </w:r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關於民事權利之主張及救濟須依據具體證據判斷，在契約自由的原則下，商業經濟型態多元，商品聯名發行係為民事非典型契約，常見於商業行銷合作模式，雙方合作應以契約明確訂定之內容為據，若有效之契約約定</w:t>
      </w:r>
      <w:proofErr w:type="gramStart"/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足認金酒</w:t>
      </w:r>
      <w:proofErr w:type="gramEnd"/>
      <w:r w:rsidR="00201D60" w:rsidRPr="00201D60">
        <w:rPr>
          <w:rFonts w:ascii="標楷體" w:eastAsia="標楷體" w:hAnsi="標楷體" w:cs="新細明體" w:hint="eastAsia"/>
          <w:kern w:val="0"/>
          <w:sz w:val="32"/>
          <w:szCs w:val="32"/>
        </w:rPr>
        <w:t>公司同意對方公司使用其商標，則尚不構成侵權。</w:t>
      </w:r>
    </w:p>
    <w:p w:rsidR="00DA1095" w:rsidRDefault="00661AAC" w:rsidP="00A72CB4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CE4F9C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綜上，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對本案</w:t>
      </w:r>
      <w:r w:rsidR="007362F4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CE4F9C" w:rsidRPr="007362F4">
        <w:rPr>
          <w:rFonts w:ascii="標楷體" w:eastAsia="標楷體" w:hAnsi="標楷體" w:cs="新細明體"/>
          <w:kern w:val="0"/>
          <w:sz w:val="32"/>
          <w:szCs w:val="32"/>
        </w:rPr>
        <w:t>聯名合作</w:t>
      </w:r>
      <w:r w:rsidR="007362F4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乙節，</w:t>
      </w:r>
      <w:proofErr w:type="gramStart"/>
      <w:r w:rsidR="005D553F">
        <w:rPr>
          <w:rFonts w:ascii="標楷體" w:eastAsia="標楷體" w:hAnsi="標楷體" w:cs="新細明體" w:hint="eastAsia"/>
          <w:kern w:val="0"/>
          <w:sz w:val="32"/>
          <w:szCs w:val="32"/>
        </w:rPr>
        <w:t>綜查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我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proofErr w:type="gramEnd"/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或大陸地區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法律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362F4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尚非法所不允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，另有關聯名公司之商標排列或組合方式，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我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或大陸地區</w:t>
      </w:r>
      <w:r w:rsidR="00656D6E">
        <w:rPr>
          <w:rFonts w:ascii="標楷體" w:eastAsia="標楷體" w:hAnsi="標楷體" w:cs="新細明體" w:hint="eastAsia"/>
          <w:kern w:val="0"/>
          <w:sz w:val="32"/>
          <w:szCs w:val="32"/>
        </w:rPr>
        <w:t>法規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尚無法定規範，</w:t>
      </w:r>
      <w:proofErr w:type="gramStart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此節宜由</w:t>
      </w:r>
      <w:proofErr w:type="gramEnd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兩造或</w:t>
      </w:r>
      <w:proofErr w:type="gramStart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多造方</w:t>
      </w:r>
      <w:proofErr w:type="gramEnd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在契約文件合意訂定。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本案</w:t>
      </w:r>
      <w:r w:rsidR="007362F4" w:rsidRPr="007362F4">
        <w:rPr>
          <w:rFonts w:ascii="標楷體" w:eastAsia="標楷體" w:hAnsi="標楷體" w:cs="新細明體" w:hint="eastAsia"/>
          <w:kern w:val="0"/>
          <w:sz w:val="32"/>
          <w:szCs w:val="32"/>
        </w:rPr>
        <w:t>廈門公司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與天福聯名合作，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可推斷為其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公司</w:t>
      </w:r>
      <w:r w:rsidR="00951FEA">
        <w:rPr>
          <w:rFonts w:ascii="標楷體" w:eastAsia="標楷體" w:hAnsi="標楷體" w:cs="新細明體" w:hint="eastAsia"/>
          <w:kern w:val="0"/>
          <w:sz w:val="32"/>
          <w:szCs w:val="32"/>
        </w:rPr>
        <w:t>企業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經營策略，應由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該</w:t>
      </w:r>
      <w:r w:rsidR="00B62F3B" w:rsidRPr="007362F4">
        <w:rPr>
          <w:rFonts w:ascii="標楷體" w:eastAsia="標楷體" w:hAnsi="標楷體" w:cs="新細明體"/>
          <w:kern w:val="0"/>
          <w:sz w:val="32"/>
          <w:szCs w:val="32"/>
        </w:rPr>
        <w:t>公司管理階層負最終成敗之責。</w:t>
      </w:r>
    </w:p>
    <w:p w:rsidR="002D3A26" w:rsidRDefault="002D3A26" w:rsidP="00B91CA6">
      <w:pPr>
        <w:pStyle w:val="a3"/>
        <w:numPr>
          <w:ilvl w:val="0"/>
          <w:numId w:val="1"/>
        </w:numPr>
        <w:spacing w:beforeLines="50" w:before="180" w:line="520" w:lineRule="exact"/>
        <w:ind w:left="0" w:firstLine="0"/>
        <w:jc w:val="both"/>
        <w:rPr>
          <w:rFonts w:ascii="標楷體" w:hAnsi="標楷體" w:cs="新細明體"/>
          <w:szCs w:val="32"/>
        </w:rPr>
      </w:pPr>
      <w:proofErr w:type="gramStart"/>
      <w:r>
        <w:rPr>
          <w:rFonts w:ascii="標楷體" w:hAnsi="標楷體" w:cs="新細明體" w:hint="eastAsia"/>
          <w:szCs w:val="32"/>
        </w:rPr>
        <w:t>樣品酒案</w:t>
      </w:r>
      <w:proofErr w:type="gramEnd"/>
      <w:r w:rsidR="008E2187">
        <w:rPr>
          <w:rFonts w:ascii="標楷體" w:hAnsi="標楷體" w:cs="新細明體" w:hint="eastAsia"/>
          <w:szCs w:val="32"/>
        </w:rPr>
        <w:t>：</w:t>
      </w:r>
    </w:p>
    <w:p w:rsidR="002D3A26" w:rsidRPr="002D3A26" w:rsidRDefault="002D3A26" w:rsidP="002D3A26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查本案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金酒典藏珍品</w:t>
      </w:r>
      <w:r w:rsidR="008E2187">
        <w:rPr>
          <w:rFonts w:ascii="標楷體" w:eastAsia="標楷體" w:hAnsi="標楷體" w:cs="新細明體" w:hint="eastAsia"/>
          <w:kern w:val="0"/>
          <w:sz w:val="32"/>
          <w:szCs w:val="32"/>
        </w:rPr>
        <w:t>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金門</w:t>
      </w:r>
      <w:proofErr w:type="gramStart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高梁酒小紅</w:t>
      </w:r>
      <w:proofErr w:type="gramEnd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龍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金門</w:t>
      </w:r>
      <w:proofErr w:type="gramStart"/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高梁酒小白</w:t>
      </w:r>
      <w:proofErr w:type="gramEnd"/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龍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兩款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下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分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稱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小紅龍酒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proofErr w:type="gramEnd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白龍酒</w:t>
      </w:r>
      <w:proofErr w:type="gramEnd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均係</w:t>
      </w:r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廈門公司</w:t>
      </w:r>
      <w:proofErr w:type="gramEnd"/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99年2月10日訂購申請，酒品容量為0.096L，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前者</w:t>
      </w:r>
      <w:proofErr w:type="gramStart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採用酒基為</w:t>
      </w:r>
      <w:proofErr w:type="gramEnd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56度金門高粱酒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，後者</w:t>
      </w:r>
      <w:proofErr w:type="gramStart"/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採用酒基為</w:t>
      </w:r>
      <w:proofErr w:type="gramEnd"/>
      <w:r w:rsidR="00436C1A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58度金門高粱酒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，計下單數量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為50,000瓶，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嗣</w:t>
      </w:r>
      <w:proofErr w:type="gramEnd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金酒公司100年6月、8月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101年9月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間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同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時</w:t>
      </w:r>
      <w:proofErr w:type="gramStart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出貨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計</w:t>
      </w:r>
      <w:proofErr w:type="gramEnd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46,944瓶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總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計93</w:t>
      </w:r>
      <w:r w:rsidR="00436C1A">
        <w:rPr>
          <w:rFonts w:ascii="標楷體" w:eastAsia="標楷體" w:hAnsi="標楷體" w:cs="新細明體"/>
          <w:kern w:val="0"/>
          <w:sz w:val="32"/>
          <w:szCs w:val="32"/>
        </w:rPr>
        <w:t>,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888瓶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據瞭解，</w:t>
      </w:r>
      <w:r w:rsidR="0063456D"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廈門公司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截至108年7月31日庫存數量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統計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紅龍酒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proofErr w:type="gramEnd"/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28,660瓶</w:t>
      </w:r>
      <w:r w:rsid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白龍酒已</w:t>
      </w:r>
      <w:proofErr w:type="gramEnd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無存貨</w:t>
      </w:r>
      <w:r w:rsidRPr="002D3A2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D3A26" w:rsidRDefault="00436C1A" w:rsidP="00B91CA6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proofErr w:type="gramStart"/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參據金</w:t>
      </w:r>
      <w:proofErr w:type="gramEnd"/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酒公司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報告</w:t>
      </w:r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所附資料，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金酒公司於101年12月24日及102年8月7日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對上述</w:t>
      </w:r>
      <w:r w:rsidR="00B91CA6" w:rsidRPr="00B91CA6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B91CA6" w:rsidRPr="00B91CA6">
        <w:rPr>
          <w:rFonts w:ascii="標楷體" w:eastAsia="標楷體" w:hAnsi="標楷體" w:cs="新細明體" w:hint="eastAsia"/>
          <w:kern w:val="0"/>
          <w:sz w:val="32"/>
          <w:szCs w:val="32"/>
        </w:rPr>
        <w:t>紅龍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酒及</w:t>
      </w:r>
      <w:proofErr w:type="gramEnd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小白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龍酒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鋁蓋</w:t>
      </w:r>
      <w:proofErr w:type="gramEnd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及墊片送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我國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SGS超微量工業安全實驗室檢驗，均符合我國檢驗標準。</w:t>
      </w:r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惟</w:t>
      </w:r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案內</w:t>
      </w:r>
      <w:r w:rsidR="004164EA">
        <w:rPr>
          <w:rFonts w:ascii="標楷體" w:eastAsia="標楷體" w:hAnsi="標楷體" w:cs="新細明體" w:hint="eastAsia"/>
          <w:kern w:val="0"/>
          <w:sz w:val="32"/>
          <w:szCs w:val="32"/>
        </w:rPr>
        <w:t>兩款酒品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隨附報關資料及我國檢驗報告至大陸時，</w:t>
      </w:r>
      <w:proofErr w:type="gramStart"/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遭陸方</w:t>
      </w:r>
      <w:proofErr w:type="gramEnd"/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認定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紅龍酒款</w:t>
      </w:r>
      <w:proofErr w:type="gramEnd"/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不符</w:t>
      </w:r>
      <w:r w:rsidR="00B40F4B" w:rsidRPr="00EA4F9C">
        <w:rPr>
          <w:rFonts w:ascii="標楷體" w:eastAsia="標楷體" w:hAnsi="標楷體" w:cs="新細明體" w:hint="eastAsia"/>
          <w:kern w:val="0"/>
          <w:sz w:val="32"/>
          <w:szCs w:val="32"/>
        </w:rPr>
        <w:t>大陸地區修正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B40F4B" w:rsidRPr="00EA4F9C">
        <w:rPr>
          <w:rFonts w:ascii="標楷體" w:eastAsia="標楷體" w:hAnsi="標楷體" w:cs="新細明體" w:hint="eastAsia"/>
          <w:kern w:val="0"/>
          <w:sz w:val="32"/>
          <w:szCs w:val="32"/>
        </w:rPr>
        <w:t>衛生法令及檢驗標準</w:t>
      </w:r>
      <w:r w:rsidR="00EC53FA" w:rsidRPr="00EA4F9C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C53FA">
        <w:rPr>
          <w:rFonts w:ascii="標楷體" w:eastAsia="標楷體" w:hAnsi="標楷體" w:cs="新細明體" w:hint="eastAsia"/>
          <w:kern w:val="0"/>
          <w:sz w:val="32"/>
          <w:szCs w:val="32"/>
        </w:rPr>
        <w:t>前</w:t>
      </w:r>
      <w:r w:rsidR="00EC53FA" w:rsidRPr="00EA4F9C">
        <w:rPr>
          <w:rFonts w:ascii="標楷體" w:eastAsia="標楷體" w:hAnsi="標楷體" w:cs="新細明體" w:hint="eastAsia"/>
          <w:kern w:val="0"/>
          <w:sz w:val="32"/>
          <w:szCs w:val="32"/>
        </w:rPr>
        <w:t>經金酒公司103年專業評估將該酒品提供予廈門公司做試飲推廣用酒</w:t>
      </w:r>
      <w:r w:rsidR="002902F2">
        <w:rPr>
          <w:rFonts w:ascii="標楷體" w:eastAsia="標楷體" w:hAnsi="標楷體" w:cs="新細明體" w:hint="eastAsia"/>
          <w:kern w:val="0"/>
          <w:sz w:val="36"/>
          <w:szCs w:val="32"/>
        </w:rPr>
        <w:t>。</w:t>
      </w:r>
      <w:r w:rsidR="00B40F4B">
        <w:rPr>
          <w:rFonts w:ascii="標楷體" w:eastAsia="標楷體" w:hAnsi="標楷體" w:cs="新細明體" w:hint="eastAsia"/>
          <w:kern w:val="0"/>
          <w:sz w:val="36"/>
          <w:szCs w:val="32"/>
        </w:rPr>
        <w:t>又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廈門公司</w:t>
      </w:r>
      <w:r w:rsidR="002902F2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瞭解</w:t>
      </w:r>
      <w:r w:rsidR="002902F2">
        <w:rPr>
          <w:rFonts w:ascii="標楷體" w:eastAsia="標楷體" w:hAnsi="標楷體" w:cs="新細明體" w:hint="eastAsia"/>
          <w:kern w:val="0"/>
          <w:sz w:val="32"/>
          <w:szCs w:val="32"/>
        </w:rPr>
        <w:t>該酒品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能</w:t>
      </w:r>
      <w:r w:rsidR="002902F2">
        <w:rPr>
          <w:rFonts w:ascii="標楷體" w:eastAsia="標楷體" w:hAnsi="標楷體" w:cs="新細明體" w:hint="eastAsia"/>
          <w:kern w:val="0"/>
          <w:sz w:val="32"/>
          <w:szCs w:val="32"/>
        </w:rPr>
        <w:t>否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再</w:t>
      </w:r>
      <w:r w:rsidR="002902F2">
        <w:rPr>
          <w:rFonts w:ascii="標楷體" w:eastAsia="標楷體" w:hAnsi="標楷體" w:cs="新細明體" w:hint="eastAsia"/>
          <w:kern w:val="0"/>
          <w:sz w:val="32"/>
          <w:szCs w:val="32"/>
        </w:rPr>
        <w:t>販售，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107年4月13日委託廈門出入境檢驗檢疫所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(下稱廈門檢驗所)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先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檢驗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小</w:t>
      </w:r>
      <w:proofErr w:type="gramStart"/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紅龍酒</w:t>
      </w:r>
      <w:proofErr w:type="gramEnd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查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該次送驗2瓶</w:t>
      </w:r>
      <w:proofErr w:type="gramStart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樣酒驗出微量鄰苯</w:t>
      </w:r>
      <w:proofErr w:type="gramEnd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二甲酸二</w:t>
      </w:r>
      <w:proofErr w:type="gramStart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丁酯(</w:t>
      </w:r>
      <w:proofErr w:type="gramEnd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DBP)超標，其餘檢驗項目符合檢驗標準。</w:t>
      </w:r>
      <w:proofErr w:type="gramStart"/>
      <w:r w:rsidR="00B91CA6">
        <w:rPr>
          <w:rFonts w:ascii="標楷體" w:eastAsia="標楷體" w:hAnsi="標楷體" w:cs="新細明體" w:hint="eastAsia"/>
          <w:kern w:val="0"/>
          <w:sz w:val="32"/>
          <w:szCs w:val="32"/>
        </w:rPr>
        <w:t>另</w:t>
      </w:r>
      <w:r w:rsidRPr="00B91CA6">
        <w:rPr>
          <w:rFonts w:ascii="標楷體" w:eastAsia="標楷體" w:hAnsi="標楷體" w:cs="新細明體" w:hint="eastAsia"/>
          <w:kern w:val="0"/>
          <w:sz w:val="32"/>
          <w:szCs w:val="32"/>
        </w:rPr>
        <w:t>小白龍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酒</w:t>
      </w:r>
      <w:r w:rsidR="00B91CA6" w:rsidRPr="00B91CA6">
        <w:rPr>
          <w:rFonts w:ascii="標楷體" w:eastAsia="標楷體" w:hAnsi="標楷體" w:cs="新細明體" w:hint="eastAsia"/>
          <w:kern w:val="0"/>
          <w:sz w:val="32"/>
          <w:szCs w:val="32"/>
        </w:rPr>
        <w:t>經</w:t>
      </w:r>
      <w:proofErr w:type="gramEnd"/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廈門公司107年5月11日委託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廈門檢驗所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再次檢驗，其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檢驗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報告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：「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合格</w:t>
      </w:r>
      <w:r w:rsidR="0063456D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Pr="00436C1A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436C1A" w:rsidRPr="002D3A26" w:rsidRDefault="00436C1A" w:rsidP="00436C1A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A4F9C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本案金酒公司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報告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所述</w:t>
      </w:r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不宜運回處理之方案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，本於企業自主精神，本處予以尊重</w:t>
      </w:r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惟</w:t>
      </w:r>
      <w:proofErr w:type="gramStart"/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建請金酒</w:t>
      </w:r>
      <w:proofErr w:type="gramEnd"/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公司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綜合評估企業社會責任、商業形象及未來可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能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衍生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外界食安疑慮之質疑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，除所列「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不宜運回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」處理方式外，</w:t>
      </w:r>
      <w:proofErr w:type="gramStart"/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研</w:t>
      </w:r>
      <w:proofErr w:type="gramEnd"/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思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其他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可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行</w:t>
      </w:r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性之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處理方案(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在地銷</w:t>
      </w:r>
      <w:proofErr w:type="gramStart"/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燬</w:t>
      </w:r>
      <w:proofErr w:type="gramEnd"/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…等)</w:t>
      </w:r>
      <w:r w:rsidR="003A069B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建構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公司經營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具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社會責任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、公益責任之趨勢型及國內外信賴之現代化企業</w:t>
      </w:r>
      <w:r w:rsidR="00B91CA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712CFD" w:rsidRPr="00776713" w:rsidRDefault="00712CFD" w:rsidP="005D553F">
      <w:pPr>
        <w:pStyle w:val="a3"/>
        <w:numPr>
          <w:ilvl w:val="0"/>
          <w:numId w:val="1"/>
        </w:numPr>
        <w:spacing w:afterLines="50" w:after="180" w:line="520" w:lineRule="exact"/>
        <w:ind w:left="0" w:firstLine="0"/>
        <w:jc w:val="both"/>
        <w:rPr>
          <w:rFonts w:ascii="標楷體" w:hAnsi="標楷體" w:cs="新細明體"/>
          <w:szCs w:val="32"/>
        </w:rPr>
      </w:pPr>
      <w:r>
        <w:rPr>
          <w:rFonts w:ascii="標楷體" w:hAnsi="標楷體" w:cs="新細明體" w:hint="eastAsia"/>
          <w:szCs w:val="32"/>
        </w:rPr>
        <w:t>策進管理作為</w:t>
      </w:r>
      <w:r w:rsidR="00B40F4B">
        <w:rPr>
          <w:rFonts w:ascii="標楷體" w:hAnsi="標楷體" w:cs="新細明體" w:hint="eastAsia"/>
          <w:szCs w:val="32"/>
        </w:rPr>
        <w:t>建議</w:t>
      </w:r>
      <w:r w:rsidRPr="00776713">
        <w:rPr>
          <w:rFonts w:ascii="標楷體" w:hAnsi="標楷體" w:cs="新細明體" w:hint="eastAsia"/>
          <w:szCs w:val="32"/>
        </w:rPr>
        <w:t>：</w:t>
      </w:r>
    </w:p>
    <w:p w:rsidR="00712CFD" w:rsidRDefault="005D553F" w:rsidP="005D553F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上三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案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商業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經營策略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模式，</w:t>
      </w:r>
      <w:proofErr w:type="gramStart"/>
      <w:r w:rsidR="00B40F4B">
        <w:rPr>
          <w:rFonts w:ascii="標楷體" w:eastAsia="標楷體" w:hAnsi="標楷體" w:cs="新細明體" w:hint="eastAsia"/>
          <w:kern w:val="0"/>
          <w:sz w:val="32"/>
          <w:szCs w:val="32"/>
        </w:rPr>
        <w:t>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屬金酒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公司管理權責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然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金酒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公司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營運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成效向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為金門鄉親相當關注之焦點，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各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案遭質疑事項，年初迄今仍在</w:t>
      </w:r>
      <w:proofErr w:type="gramStart"/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迴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盪</w:t>
      </w:r>
      <w:proofErr w:type="gramEnd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是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金酒公司在對民意機關、鄉親、媒體之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處置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內容、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方式、時點，</w:t>
      </w:r>
      <w:proofErr w:type="gramStart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容有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策進</w:t>
      </w:r>
      <w:proofErr w:type="gramEnd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空間。</w:t>
      </w:r>
    </w:p>
    <w:p w:rsidR="00F70479" w:rsidRDefault="005D553F" w:rsidP="00F70479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現行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主題酒作業要點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」僅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係規範國內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地區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，至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外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國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大陸地區主題</w:t>
      </w:r>
      <w:proofErr w:type="gramStart"/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酒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訂產</w:t>
      </w:r>
      <w:proofErr w:type="gramEnd"/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製相關事項</w:t>
      </w:r>
      <w:r w:rsidR="00F70479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宜納入</w:t>
      </w:r>
      <w:proofErr w:type="gramStart"/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研</w:t>
      </w:r>
      <w:proofErr w:type="gramEnd"/>
      <w:r w:rsidR="00F70479">
        <w:rPr>
          <w:rFonts w:ascii="標楷體" w:eastAsia="標楷體" w:hAnsi="標楷體" w:cs="新細明體" w:hint="eastAsia"/>
          <w:kern w:val="0"/>
          <w:sz w:val="32"/>
          <w:szCs w:val="32"/>
        </w:rPr>
        <w:t>修考量。</w:t>
      </w:r>
    </w:p>
    <w:p w:rsidR="00FE1607" w:rsidRPr="002902F2" w:rsidRDefault="00F70479" w:rsidP="002902F2">
      <w:pPr>
        <w:pStyle w:val="ab"/>
        <w:widowControl/>
        <w:spacing w:line="520" w:lineRule="exact"/>
        <w:ind w:leftChars="355" w:left="1498" w:hangingChars="202" w:hanging="646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="00712CFD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金酒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公司須持續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擴大</w:t>
      </w:r>
      <w:r w:rsidR="00712CFD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培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訓智財、專利、</w:t>
      </w:r>
      <w:r w:rsidR="00712CFD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商標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、衛生檢</w:t>
      </w:r>
      <w:r w:rsidR="00D14DAF">
        <w:rPr>
          <w:rFonts w:ascii="標楷體" w:eastAsia="標楷體" w:hAnsi="標楷體" w:cs="新細明體" w:hint="eastAsia"/>
          <w:kern w:val="0"/>
          <w:sz w:val="32"/>
          <w:szCs w:val="32"/>
        </w:rPr>
        <w:t>驗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等涉外</w:t>
      </w:r>
      <w:r w:rsidR="00677140">
        <w:rPr>
          <w:rFonts w:ascii="標楷體" w:eastAsia="標楷體" w:hAnsi="標楷體" w:cs="新細明體" w:hint="eastAsia"/>
          <w:kern w:val="0"/>
          <w:sz w:val="32"/>
          <w:szCs w:val="32"/>
        </w:rPr>
        <w:t>(外國及大陸地區)</w:t>
      </w:r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行銷之法務專業</w:t>
      </w:r>
      <w:r w:rsidR="00712CFD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人才，</w:t>
      </w:r>
      <w:proofErr w:type="gramStart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俾</w:t>
      </w:r>
      <w:proofErr w:type="gramEnd"/>
      <w:r w:rsidR="00712CFD">
        <w:rPr>
          <w:rFonts w:ascii="標楷體" w:eastAsia="標楷體" w:hAnsi="標楷體" w:cs="新細明體" w:hint="eastAsia"/>
          <w:kern w:val="0"/>
          <w:sz w:val="32"/>
          <w:szCs w:val="32"/>
        </w:rPr>
        <w:t>有效</w:t>
      </w:r>
      <w:r w:rsidR="00712CFD" w:rsidRPr="00776713">
        <w:rPr>
          <w:rFonts w:ascii="標楷體" w:eastAsia="標楷體" w:hAnsi="標楷體" w:cs="新細明體" w:hint="eastAsia"/>
          <w:kern w:val="0"/>
          <w:sz w:val="32"/>
          <w:szCs w:val="32"/>
        </w:rPr>
        <w:t>維護金酒權益。</w:t>
      </w:r>
    </w:p>
    <w:sectPr w:rsidR="00FE1607" w:rsidRPr="002902F2" w:rsidSect="00201D60">
      <w:footerReference w:type="default" r:id="rId10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16" w:rsidRDefault="00005316" w:rsidP="00B72ACC">
      <w:r>
        <w:separator/>
      </w:r>
    </w:p>
  </w:endnote>
  <w:endnote w:type="continuationSeparator" w:id="0">
    <w:p w:rsidR="00005316" w:rsidRDefault="00005316" w:rsidP="00B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5" w:rsidRDefault="00FE4A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CDB" w:rsidRPr="00686CDB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DA1095" w:rsidRDefault="00DA1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16" w:rsidRDefault="00005316" w:rsidP="00B72ACC">
      <w:r>
        <w:separator/>
      </w:r>
    </w:p>
  </w:footnote>
  <w:footnote w:type="continuationSeparator" w:id="0">
    <w:p w:rsidR="00005316" w:rsidRDefault="00005316" w:rsidP="00B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665"/>
    <w:multiLevelType w:val="hybridMultilevel"/>
    <w:tmpl w:val="B688ED70"/>
    <w:lvl w:ilvl="0" w:tplc="19566FB6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866F3"/>
    <w:multiLevelType w:val="hybridMultilevel"/>
    <w:tmpl w:val="25C0A230"/>
    <w:lvl w:ilvl="0" w:tplc="B8726E1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73D66418">
      <w:start w:val="6"/>
      <w:numFmt w:val="ideographLegalTradition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1E6C9B"/>
    <w:multiLevelType w:val="hybridMultilevel"/>
    <w:tmpl w:val="91ACECD8"/>
    <w:lvl w:ilvl="0" w:tplc="2618D800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" w15:restartNumberingAfterBreak="0">
    <w:nsid w:val="09B34D15"/>
    <w:multiLevelType w:val="hybridMultilevel"/>
    <w:tmpl w:val="E0C43E40"/>
    <w:lvl w:ilvl="0" w:tplc="A308E992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E4D22"/>
    <w:multiLevelType w:val="hybridMultilevel"/>
    <w:tmpl w:val="6ADA950E"/>
    <w:lvl w:ilvl="0" w:tplc="AC18ACB4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6CA709B"/>
    <w:multiLevelType w:val="hybridMultilevel"/>
    <w:tmpl w:val="EE2EF74E"/>
    <w:lvl w:ilvl="0" w:tplc="C4660FEC">
      <w:start w:val="1"/>
      <w:numFmt w:val="ideographDigital"/>
      <w:lvlText w:val="（%1）"/>
      <w:lvlJc w:val="left"/>
      <w:pPr>
        <w:tabs>
          <w:tab w:val="num" w:pos="2037"/>
        </w:tabs>
        <w:ind w:left="2037" w:hanging="107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0117220"/>
    <w:multiLevelType w:val="hybridMultilevel"/>
    <w:tmpl w:val="1BE0BEE4"/>
    <w:lvl w:ilvl="0" w:tplc="10D2B91E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83A92"/>
    <w:multiLevelType w:val="hybridMultilevel"/>
    <w:tmpl w:val="E8ACD46C"/>
    <w:lvl w:ilvl="0" w:tplc="95CEA740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6C16F2A"/>
    <w:multiLevelType w:val="hybridMultilevel"/>
    <w:tmpl w:val="D71E433E"/>
    <w:lvl w:ilvl="0" w:tplc="BD725F12">
      <w:start w:val="1"/>
      <w:numFmt w:val="taiwaneseCountingThousand"/>
      <w:lvlText w:val="（%1）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7CF599D"/>
    <w:multiLevelType w:val="hybridMultilevel"/>
    <w:tmpl w:val="899EF1E6"/>
    <w:lvl w:ilvl="0" w:tplc="FF3C4F96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9677D97"/>
    <w:multiLevelType w:val="hybridMultilevel"/>
    <w:tmpl w:val="993E73D2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367E28"/>
    <w:multiLevelType w:val="hybridMultilevel"/>
    <w:tmpl w:val="1AF6B2BA"/>
    <w:lvl w:ilvl="0" w:tplc="C2C23960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61FFC"/>
    <w:multiLevelType w:val="hybridMultilevel"/>
    <w:tmpl w:val="4B06A366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30963938">
      <w:start w:val="8"/>
      <w:numFmt w:val="taiwaneseCountingThousand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3" w15:restartNumberingAfterBreak="0">
    <w:nsid w:val="3AE40A2A"/>
    <w:multiLevelType w:val="hybridMultilevel"/>
    <w:tmpl w:val="1CAC6C50"/>
    <w:lvl w:ilvl="0" w:tplc="3C84DC54">
      <w:start w:val="1"/>
      <w:numFmt w:val="ideographLegalTraditional"/>
      <w:lvlText w:val="%1、"/>
      <w:lvlJc w:val="left"/>
      <w:pPr>
        <w:ind w:left="840" w:hanging="840"/>
      </w:pPr>
      <w:rPr>
        <w:rFonts w:cs="Times New Roman" w:hint="default"/>
        <w:lang w:val="en-US"/>
      </w:rPr>
    </w:lvl>
    <w:lvl w:ilvl="1" w:tplc="9A1A4696">
      <w:start w:val="1"/>
      <w:numFmt w:val="taiwaneseCountingThousand"/>
      <w:lvlText w:val="%2、"/>
      <w:lvlJc w:val="left"/>
      <w:pPr>
        <w:ind w:left="1752" w:hanging="552"/>
      </w:pPr>
      <w:rPr>
        <w:rFonts w:ascii="標楷體" w:eastAsia="標楷體" w:hAnsi="標楷體" w:cs="新細明體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3BB70A26"/>
    <w:multiLevelType w:val="hybridMultilevel"/>
    <w:tmpl w:val="01CE8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4D1070"/>
    <w:multiLevelType w:val="hybridMultilevel"/>
    <w:tmpl w:val="AD9A9192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4443DE"/>
    <w:multiLevelType w:val="hybridMultilevel"/>
    <w:tmpl w:val="1D5247AE"/>
    <w:lvl w:ilvl="0" w:tplc="A05EB6BE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4D2D02FD"/>
    <w:multiLevelType w:val="hybridMultilevel"/>
    <w:tmpl w:val="1A4C5252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7486B0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8D07B5F"/>
    <w:multiLevelType w:val="hybridMultilevel"/>
    <w:tmpl w:val="B46C1AE8"/>
    <w:lvl w:ilvl="0" w:tplc="C1CC6BF4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BCC2E618">
      <w:start w:val="9"/>
      <w:numFmt w:val="taiwaneseCountingThousand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5D445141"/>
    <w:multiLevelType w:val="hybridMultilevel"/>
    <w:tmpl w:val="08A60468"/>
    <w:lvl w:ilvl="0" w:tplc="0332CCF0">
      <w:start w:val="1"/>
      <w:numFmt w:val="decimal"/>
      <w:lvlText w:val="%1、"/>
      <w:lvlJc w:val="left"/>
      <w:pPr>
        <w:ind w:left="764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1B19D5"/>
    <w:multiLevelType w:val="hybridMultilevel"/>
    <w:tmpl w:val="E312E374"/>
    <w:lvl w:ilvl="0" w:tplc="C90A3A6A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93A804E8">
      <w:start w:val="7"/>
      <w:numFmt w:val="ideographLegalTraditional"/>
      <w:lvlText w:val="%2、"/>
      <w:lvlJc w:val="left"/>
      <w:pPr>
        <w:ind w:left="13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64473CB9"/>
    <w:multiLevelType w:val="hybridMultilevel"/>
    <w:tmpl w:val="9B20C7EA"/>
    <w:lvl w:ilvl="0" w:tplc="6BFC24F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9E96DC3"/>
    <w:multiLevelType w:val="hybridMultilevel"/>
    <w:tmpl w:val="57D60292"/>
    <w:lvl w:ilvl="0" w:tplc="11900AF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B65DD"/>
    <w:multiLevelType w:val="hybridMultilevel"/>
    <w:tmpl w:val="9CE6A08C"/>
    <w:lvl w:ilvl="0" w:tplc="CC7C51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6254232"/>
    <w:multiLevelType w:val="hybridMultilevel"/>
    <w:tmpl w:val="C04A53D0"/>
    <w:lvl w:ilvl="0" w:tplc="C7FC8328">
      <w:start w:val="1"/>
      <w:numFmt w:val="taiwaneseCountingThousand"/>
      <w:lvlText w:val="%1、"/>
      <w:lvlJc w:val="left"/>
      <w:pPr>
        <w:ind w:left="6858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7B390C9E"/>
    <w:multiLevelType w:val="hybridMultilevel"/>
    <w:tmpl w:val="687483A0"/>
    <w:lvl w:ilvl="0" w:tplc="5588CE6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C3A2196"/>
    <w:multiLevelType w:val="hybridMultilevel"/>
    <w:tmpl w:val="F2B49432"/>
    <w:lvl w:ilvl="0" w:tplc="E40E930E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F1E765D"/>
    <w:multiLevelType w:val="hybridMultilevel"/>
    <w:tmpl w:val="246A6BB8"/>
    <w:lvl w:ilvl="0" w:tplc="63C4F2BE">
      <w:start w:val="1"/>
      <w:numFmt w:val="taiwaneseCountingThousand"/>
      <w:lvlText w:val="（%1）"/>
      <w:lvlJc w:val="left"/>
      <w:pPr>
        <w:ind w:left="12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6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21"/>
  </w:num>
  <w:num w:numId="10">
    <w:abstractNumId w:val="2"/>
  </w:num>
  <w:num w:numId="11">
    <w:abstractNumId w:val="1"/>
  </w:num>
  <w:num w:numId="12">
    <w:abstractNumId w:val="5"/>
  </w:num>
  <w:num w:numId="13">
    <w:abstractNumId w:val="17"/>
  </w:num>
  <w:num w:numId="14">
    <w:abstractNumId w:val="27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3"/>
  </w:num>
  <w:num w:numId="24">
    <w:abstractNumId w:val="19"/>
  </w:num>
  <w:num w:numId="25">
    <w:abstractNumId w:val="11"/>
  </w:num>
  <w:num w:numId="26">
    <w:abstractNumId w:val="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0002F3"/>
    <w:rsid w:val="00000F58"/>
    <w:rsid w:val="0000477D"/>
    <w:rsid w:val="00005316"/>
    <w:rsid w:val="000123CF"/>
    <w:rsid w:val="000141C6"/>
    <w:rsid w:val="0003465E"/>
    <w:rsid w:val="000539F3"/>
    <w:rsid w:val="0005479E"/>
    <w:rsid w:val="00060693"/>
    <w:rsid w:val="000617F2"/>
    <w:rsid w:val="00061F73"/>
    <w:rsid w:val="00064AEC"/>
    <w:rsid w:val="000714CC"/>
    <w:rsid w:val="000760DD"/>
    <w:rsid w:val="000843E0"/>
    <w:rsid w:val="00094A9A"/>
    <w:rsid w:val="0009718E"/>
    <w:rsid w:val="000A260C"/>
    <w:rsid w:val="000A3BDE"/>
    <w:rsid w:val="000B6923"/>
    <w:rsid w:val="000B734D"/>
    <w:rsid w:val="000C5260"/>
    <w:rsid w:val="000D41BF"/>
    <w:rsid w:val="000D5ACD"/>
    <w:rsid w:val="000D70A3"/>
    <w:rsid w:val="000E5718"/>
    <w:rsid w:val="000E70E5"/>
    <w:rsid w:val="000E70F1"/>
    <w:rsid w:val="000F09D3"/>
    <w:rsid w:val="00103631"/>
    <w:rsid w:val="00107B83"/>
    <w:rsid w:val="00113C4E"/>
    <w:rsid w:val="00121C67"/>
    <w:rsid w:val="00143A72"/>
    <w:rsid w:val="00160C52"/>
    <w:rsid w:val="0017294B"/>
    <w:rsid w:val="00185E14"/>
    <w:rsid w:val="001A354A"/>
    <w:rsid w:val="001B52C1"/>
    <w:rsid w:val="001B6DC1"/>
    <w:rsid w:val="001C0B78"/>
    <w:rsid w:val="001C3046"/>
    <w:rsid w:val="001D0616"/>
    <w:rsid w:val="001D5F9F"/>
    <w:rsid w:val="001E102C"/>
    <w:rsid w:val="001F0B58"/>
    <w:rsid w:val="001F5082"/>
    <w:rsid w:val="00201D60"/>
    <w:rsid w:val="00205AA0"/>
    <w:rsid w:val="00220BB4"/>
    <w:rsid w:val="002240F7"/>
    <w:rsid w:val="00247F87"/>
    <w:rsid w:val="002501C6"/>
    <w:rsid w:val="002666BA"/>
    <w:rsid w:val="00267BDB"/>
    <w:rsid w:val="00270D41"/>
    <w:rsid w:val="002902F2"/>
    <w:rsid w:val="002B3099"/>
    <w:rsid w:val="002C0899"/>
    <w:rsid w:val="002C3879"/>
    <w:rsid w:val="002C77F2"/>
    <w:rsid w:val="002D3A26"/>
    <w:rsid w:val="002E49A8"/>
    <w:rsid w:val="0030216A"/>
    <w:rsid w:val="00306B58"/>
    <w:rsid w:val="00310298"/>
    <w:rsid w:val="003118EC"/>
    <w:rsid w:val="003432E6"/>
    <w:rsid w:val="00352679"/>
    <w:rsid w:val="00362850"/>
    <w:rsid w:val="00363BAF"/>
    <w:rsid w:val="00366C81"/>
    <w:rsid w:val="003725F4"/>
    <w:rsid w:val="00392DFB"/>
    <w:rsid w:val="00392F42"/>
    <w:rsid w:val="00393153"/>
    <w:rsid w:val="003A069B"/>
    <w:rsid w:val="003A3733"/>
    <w:rsid w:val="003A3C2D"/>
    <w:rsid w:val="003C5963"/>
    <w:rsid w:val="003E50F7"/>
    <w:rsid w:val="003F3A3F"/>
    <w:rsid w:val="003F7218"/>
    <w:rsid w:val="00404ECA"/>
    <w:rsid w:val="004164EA"/>
    <w:rsid w:val="00421884"/>
    <w:rsid w:val="0042732C"/>
    <w:rsid w:val="00436C1A"/>
    <w:rsid w:val="0043768D"/>
    <w:rsid w:val="00441FA6"/>
    <w:rsid w:val="00445A13"/>
    <w:rsid w:val="0045042C"/>
    <w:rsid w:val="00451F91"/>
    <w:rsid w:val="00452093"/>
    <w:rsid w:val="00455EE5"/>
    <w:rsid w:val="00457883"/>
    <w:rsid w:val="00464BA4"/>
    <w:rsid w:val="004729BE"/>
    <w:rsid w:val="00474D2A"/>
    <w:rsid w:val="004842AD"/>
    <w:rsid w:val="00485106"/>
    <w:rsid w:val="00485987"/>
    <w:rsid w:val="00485B5E"/>
    <w:rsid w:val="004B5E0D"/>
    <w:rsid w:val="004B711C"/>
    <w:rsid w:val="004C0E84"/>
    <w:rsid w:val="004C365C"/>
    <w:rsid w:val="004C3CAC"/>
    <w:rsid w:val="004D6306"/>
    <w:rsid w:val="004E0451"/>
    <w:rsid w:val="004F4CB0"/>
    <w:rsid w:val="004F5E8E"/>
    <w:rsid w:val="005040A2"/>
    <w:rsid w:val="005057A2"/>
    <w:rsid w:val="00511128"/>
    <w:rsid w:val="00514F01"/>
    <w:rsid w:val="00520DEF"/>
    <w:rsid w:val="0053092E"/>
    <w:rsid w:val="00533279"/>
    <w:rsid w:val="00533537"/>
    <w:rsid w:val="00534077"/>
    <w:rsid w:val="005375F1"/>
    <w:rsid w:val="0054058D"/>
    <w:rsid w:val="005439D9"/>
    <w:rsid w:val="00544167"/>
    <w:rsid w:val="005575AA"/>
    <w:rsid w:val="00561271"/>
    <w:rsid w:val="00562DA5"/>
    <w:rsid w:val="00564E4F"/>
    <w:rsid w:val="0058343C"/>
    <w:rsid w:val="005922D4"/>
    <w:rsid w:val="00592EE4"/>
    <w:rsid w:val="005A75F7"/>
    <w:rsid w:val="005C0B43"/>
    <w:rsid w:val="005D1283"/>
    <w:rsid w:val="005D553F"/>
    <w:rsid w:val="005E0B91"/>
    <w:rsid w:val="005E41CD"/>
    <w:rsid w:val="006002E9"/>
    <w:rsid w:val="00604A48"/>
    <w:rsid w:val="0061512C"/>
    <w:rsid w:val="00616C2F"/>
    <w:rsid w:val="00622EEC"/>
    <w:rsid w:val="00625901"/>
    <w:rsid w:val="0063456D"/>
    <w:rsid w:val="00644C95"/>
    <w:rsid w:val="00647ED6"/>
    <w:rsid w:val="00652B10"/>
    <w:rsid w:val="00652DB9"/>
    <w:rsid w:val="00652F4C"/>
    <w:rsid w:val="00656D6E"/>
    <w:rsid w:val="006608A3"/>
    <w:rsid w:val="00661AAC"/>
    <w:rsid w:val="006664F1"/>
    <w:rsid w:val="00677140"/>
    <w:rsid w:val="00686CDB"/>
    <w:rsid w:val="006B08A8"/>
    <w:rsid w:val="006B0921"/>
    <w:rsid w:val="006B2B0E"/>
    <w:rsid w:val="006B6A93"/>
    <w:rsid w:val="006C0BC9"/>
    <w:rsid w:val="006C2C1B"/>
    <w:rsid w:val="006C554A"/>
    <w:rsid w:val="006D6734"/>
    <w:rsid w:val="006E3506"/>
    <w:rsid w:val="006F21DF"/>
    <w:rsid w:val="006F56E7"/>
    <w:rsid w:val="00711024"/>
    <w:rsid w:val="00712CFD"/>
    <w:rsid w:val="007132B6"/>
    <w:rsid w:val="0071738A"/>
    <w:rsid w:val="007362F4"/>
    <w:rsid w:val="007421F7"/>
    <w:rsid w:val="00745625"/>
    <w:rsid w:val="00767422"/>
    <w:rsid w:val="00771635"/>
    <w:rsid w:val="00776713"/>
    <w:rsid w:val="00785E3A"/>
    <w:rsid w:val="0078750C"/>
    <w:rsid w:val="007A11B4"/>
    <w:rsid w:val="007A3875"/>
    <w:rsid w:val="007A4955"/>
    <w:rsid w:val="007A4DC5"/>
    <w:rsid w:val="007B3CBF"/>
    <w:rsid w:val="007C10FF"/>
    <w:rsid w:val="007C1CC7"/>
    <w:rsid w:val="007C6D6B"/>
    <w:rsid w:val="007D61C0"/>
    <w:rsid w:val="007E1863"/>
    <w:rsid w:val="007F396D"/>
    <w:rsid w:val="007F3EFB"/>
    <w:rsid w:val="008028B4"/>
    <w:rsid w:val="008031CF"/>
    <w:rsid w:val="008046CD"/>
    <w:rsid w:val="00804ADC"/>
    <w:rsid w:val="00817830"/>
    <w:rsid w:val="008201C3"/>
    <w:rsid w:val="008234B5"/>
    <w:rsid w:val="00823DEF"/>
    <w:rsid w:val="008241AA"/>
    <w:rsid w:val="0082617B"/>
    <w:rsid w:val="00827220"/>
    <w:rsid w:val="00832EE0"/>
    <w:rsid w:val="008469FD"/>
    <w:rsid w:val="008507B1"/>
    <w:rsid w:val="00852713"/>
    <w:rsid w:val="00854804"/>
    <w:rsid w:val="00857B65"/>
    <w:rsid w:val="00871BF5"/>
    <w:rsid w:val="00876749"/>
    <w:rsid w:val="00896037"/>
    <w:rsid w:val="008A30C4"/>
    <w:rsid w:val="008B531A"/>
    <w:rsid w:val="008C7E2B"/>
    <w:rsid w:val="008D1612"/>
    <w:rsid w:val="008E2187"/>
    <w:rsid w:val="008E3530"/>
    <w:rsid w:val="008F0071"/>
    <w:rsid w:val="00903F95"/>
    <w:rsid w:val="009058A7"/>
    <w:rsid w:val="00910F2C"/>
    <w:rsid w:val="00913A2E"/>
    <w:rsid w:val="0092303F"/>
    <w:rsid w:val="009248FD"/>
    <w:rsid w:val="0092590F"/>
    <w:rsid w:val="00933C1B"/>
    <w:rsid w:val="00936C3D"/>
    <w:rsid w:val="009452C4"/>
    <w:rsid w:val="00951FEA"/>
    <w:rsid w:val="009557AA"/>
    <w:rsid w:val="009563CC"/>
    <w:rsid w:val="00956BAB"/>
    <w:rsid w:val="0098374E"/>
    <w:rsid w:val="009856C3"/>
    <w:rsid w:val="009907B2"/>
    <w:rsid w:val="00997BE2"/>
    <w:rsid w:val="009A0B59"/>
    <w:rsid w:val="009A3B95"/>
    <w:rsid w:val="009B317B"/>
    <w:rsid w:val="009D3410"/>
    <w:rsid w:val="009D3A54"/>
    <w:rsid w:val="009D3F11"/>
    <w:rsid w:val="009F33A9"/>
    <w:rsid w:val="00A2028A"/>
    <w:rsid w:val="00A2707B"/>
    <w:rsid w:val="00A272CE"/>
    <w:rsid w:val="00A516AC"/>
    <w:rsid w:val="00A55EB1"/>
    <w:rsid w:val="00A63057"/>
    <w:rsid w:val="00A63940"/>
    <w:rsid w:val="00A6785D"/>
    <w:rsid w:val="00A706BF"/>
    <w:rsid w:val="00A72CB4"/>
    <w:rsid w:val="00A761FF"/>
    <w:rsid w:val="00A87124"/>
    <w:rsid w:val="00AA6826"/>
    <w:rsid w:val="00AB460D"/>
    <w:rsid w:val="00AC0F45"/>
    <w:rsid w:val="00AD51F4"/>
    <w:rsid w:val="00AF493A"/>
    <w:rsid w:val="00AF650C"/>
    <w:rsid w:val="00B05AAA"/>
    <w:rsid w:val="00B05BA4"/>
    <w:rsid w:val="00B21408"/>
    <w:rsid w:val="00B40F4B"/>
    <w:rsid w:val="00B416CD"/>
    <w:rsid w:val="00B42285"/>
    <w:rsid w:val="00B43859"/>
    <w:rsid w:val="00B564EC"/>
    <w:rsid w:val="00B61B8E"/>
    <w:rsid w:val="00B62F3B"/>
    <w:rsid w:val="00B70DB9"/>
    <w:rsid w:val="00B72ACC"/>
    <w:rsid w:val="00B737B6"/>
    <w:rsid w:val="00B7777D"/>
    <w:rsid w:val="00B91CA6"/>
    <w:rsid w:val="00B9393E"/>
    <w:rsid w:val="00B96BCA"/>
    <w:rsid w:val="00BA03C6"/>
    <w:rsid w:val="00BA3E99"/>
    <w:rsid w:val="00BA69BA"/>
    <w:rsid w:val="00BB751D"/>
    <w:rsid w:val="00BC5908"/>
    <w:rsid w:val="00BD0D63"/>
    <w:rsid w:val="00BD41A3"/>
    <w:rsid w:val="00BD604D"/>
    <w:rsid w:val="00BD7A11"/>
    <w:rsid w:val="00C03602"/>
    <w:rsid w:val="00C138CE"/>
    <w:rsid w:val="00C13E18"/>
    <w:rsid w:val="00C16848"/>
    <w:rsid w:val="00C17C65"/>
    <w:rsid w:val="00C32A70"/>
    <w:rsid w:val="00C56B5F"/>
    <w:rsid w:val="00C62C79"/>
    <w:rsid w:val="00C77AFC"/>
    <w:rsid w:val="00C9534D"/>
    <w:rsid w:val="00CA1C89"/>
    <w:rsid w:val="00CA7BB5"/>
    <w:rsid w:val="00CB6252"/>
    <w:rsid w:val="00CB7EBA"/>
    <w:rsid w:val="00CC53A3"/>
    <w:rsid w:val="00CD3BFC"/>
    <w:rsid w:val="00CD4A20"/>
    <w:rsid w:val="00CE0650"/>
    <w:rsid w:val="00CE4F9C"/>
    <w:rsid w:val="00D00F98"/>
    <w:rsid w:val="00D04DC4"/>
    <w:rsid w:val="00D12EB2"/>
    <w:rsid w:val="00D14DAF"/>
    <w:rsid w:val="00D4748A"/>
    <w:rsid w:val="00D504C7"/>
    <w:rsid w:val="00D645F5"/>
    <w:rsid w:val="00D66F21"/>
    <w:rsid w:val="00D67926"/>
    <w:rsid w:val="00D82505"/>
    <w:rsid w:val="00DA1095"/>
    <w:rsid w:val="00DA13A8"/>
    <w:rsid w:val="00DA791C"/>
    <w:rsid w:val="00DC4E99"/>
    <w:rsid w:val="00DC5C8D"/>
    <w:rsid w:val="00DD100A"/>
    <w:rsid w:val="00DD6452"/>
    <w:rsid w:val="00DE0914"/>
    <w:rsid w:val="00DE2852"/>
    <w:rsid w:val="00DF3BC4"/>
    <w:rsid w:val="00DF6203"/>
    <w:rsid w:val="00E01B4A"/>
    <w:rsid w:val="00E27C5C"/>
    <w:rsid w:val="00E377CC"/>
    <w:rsid w:val="00E52E7A"/>
    <w:rsid w:val="00E70214"/>
    <w:rsid w:val="00E733CB"/>
    <w:rsid w:val="00E83E6D"/>
    <w:rsid w:val="00EA4F9C"/>
    <w:rsid w:val="00EA55D8"/>
    <w:rsid w:val="00EA6FBA"/>
    <w:rsid w:val="00EB094C"/>
    <w:rsid w:val="00EC2C3F"/>
    <w:rsid w:val="00EC53FA"/>
    <w:rsid w:val="00EC7195"/>
    <w:rsid w:val="00EC7FFB"/>
    <w:rsid w:val="00ED1B82"/>
    <w:rsid w:val="00ED23DC"/>
    <w:rsid w:val="00EE4DC9"/>
    <w:rsid w:val="00EF3A9C"/>
    <w:rsid w:val="00F11174"/>
    <w:rsid w:val="00F1279C"/>
    <w:rsid w:val="00F26AF8"/>
    <w:rsid w:val="00F303A3"/>
    <w:rsid w:val="00F3209D"/>
    <w:rsid w:val="00F52210"/>
    <w:rsid w:val="00F547FC"/>
    <w:rsid w:val="00F61BB6"/>
    <w:rsid w:val="00F660C0"/>
    <w:rsid w:val="00F70479"/>
    <w:rsid w:val="00F737D2"/>
    <w:rsid w:val="00F77CDB"/>
    <w:rsid w:val="00F80424"/>
    <w:rsid w:val="00F80429"/>
    <w:rsid w:val="00F86D62"/>
    <w:rsid w:val="00F87336"/>
    <w:rsid w:val="00F914FD"/>
    <w:rsid w:val="00FA575F"/>
    <w:rsid w:val="00FB1F1A"/>
    <w:rsid w:val="00FB418C"/>
    <w:rsid w:val="00FB71B7"/>
    <w:rsid w:val="00FC0C13"/>
    <w:rsid w:val="00FC186D"/>
    <w:rsid w:val="00FD3725"/>
    <w:rsid w:val="00FE10B4"/>
    <w:rsid w:val="00FE11B9"/>
    <w:rsid w:val="00FE1607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0F0243-3F3D-4016-A013-BA07E63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A0"/>
    <w:pPr>
      <w:widowControl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link w:val="a3"/>
    <w:uiPriority w:val="99"/>
    <w:locked/>
    <w:rsid w:val="00205AA0"/>
    <w:rPr>
      <w:rFonts w:ascii="Times New Roman" w:eastAsia="標楷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72A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2AC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8750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875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272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272CE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58D"/>
    <w:pPr>
      <w:ind w:leftChars="200" w:left="480"/>
    </w:pPr>
  </w:style>
  <w:style w:type="paragraph" w:customStyle="1" w:styleId="21">
    <w:name w:val="字元 字元2 字元 字元 字元 字元"/>
    <w:basedOn w:val="a"/>
    <w:semiHidden/>
    <w:rsid w:val="008028B4"/>
    <w:pPr>
      <w:widowControl/>
      <w:adjustRightInd w:val="0"/>
      <w:spacing w:after="160" w:line="240" w:lineRule="exact"/>
    </w:pPr>
    <w:rPr>
      <w:rFonts w:ascii="Verdana" w:eastAsia="Times New Roman" w:hAnsi="Verdana"/>
      <w:spacing w:val="24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B6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lawbank.com.tw/pdf2/0678-070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a.lawbank.com.tw/pdf2/0678-07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21E8-8831-45C6-B1C9-5C614E4A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646</Words>
  <Characters>3688</Characters>
  <Application>Microsoft Office Word</Application>
  <DocSecurity>0</DocSecurity>
  <Lines>30</Lines>
  <Paragraphs>8</Paragraphs>
  <ScaleCrop>false</ScaleCrop>
  <Company>Your Company Name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蔡炳火</cp:lastModifiedBy>
  <cp:revision>8</cp:revision>
  <cp:lastPrinted>2019-10-21T07:59:00Z</cp:lastPrinted>
  <dcterms:created xsi:type="dcterms:W3CDTF">2019-10-21T05:33:00Z</dcterms:created>
  <dcterms:modified xsi:type="dcterms:W3CDTF">2019-10-21T08:04:00Z</dcterms:modified>
</cp:coreProperties>
</file>