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43" w:rsidRPr="00F15C1C" w:rsidRDefault="003F7C29" w:rsidP="001928B4">
      <w:pPr>
        <w:spacing w:afterLines="50" w:after="180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GoBack"/>
      <w:r w:rsidRPr="00F15C1C">
        <w:rPr>
          <w:rFonts w:ascii="Times New Roman" w:eastAsia="標楷體" w:hAnsi="Times New Roman" w:cs="Times New Roman"/>
          <w:b/>
          <w:sz w:val="31"/>
          <w:szCs w:val="31"/>
        </w:rPr>
        <w:t>行政法人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法與公職人員利益衝突迴避法有關</w:t>
      </w:r>
      <w:r w:rsidRPr="00F15C1C">
        <w:rPr>
          <w:rFonts w:ascii="Times New Roman" w:eastAsia="標楷體" w:hAnsi="Times New Roman" w:cs="Times New Roman"/>
          <w:b/>
          <w:sz w:val="31"/>
          <w:szCs w:val="31"/>
        </w:rPr>
        <w:t>利益迴避事項</w:t>
      </w:r>
      <w:r w:rsidR="00C32097" w:rsidRPr="00F15C1C">
        <w:rPr>
          <w:rFonts w:ascii="Times New Roman" w:eastAsia="標楷體" w:hAnsi="Times New Roman" w:cs="Times New Roman"/>
          <w:b/>
          <w:sz w:val="31"/>
          <w:szCs w:val="31"/>
        </w:rPr>
        <w:t>適用</w:t>
      </w:r>
      <w:r w:rsidR="000F1CDE" w:rsidRPr="00F15C1C">
        <w:rPr>
          <w:rFonts w:ascii="Times New Roman" w:eastAsia="標楷體" w:hAnsi="Times New Roman" w:cs="Times New Roman"/>
          <w:b/>
          <w:sz w:val="31"/>
          <w:szCs w:val="31"/>
        </w:rPr>
        <w:t>情形表</w:t>
      </w: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2026"/>
        <w:gridCol w:w="1260"/>
        <w:gridCol w:w="1288"/>
        <w:gridCol w:w="3821"/>
        <w:gridCol w:w="1666"/>
      </w:tblGrid>
      <w:tr w:rsidR="00F15C1C" w:rsidRPr="00F15C1C" w:rsidTr="000B65E7">
        <w:trPr>
          <w:trHeight w:val="607"/>
          <w:tblHeader/>
        </w:trPr>
        <w:tc>
          <w:tcPr>
            <w:tcW w:w="2026" w:type="dxa"/>
            <w:shd w:val="clear" w:color="auto" w:fill="auto"/>
            <w:vAlign w:val="center"/>
          </w:tcPr>
          <w:bookmarkEnd w:id="0"/>
          <w:p w:rsidR="007B0484" w:rsidRPr="00F15C1C" w:rsidRDefault="000F1CDE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規範內容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0484" w:rsidRPr="00C66ED6" w:rsidRDefault="000F1CDE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C66ED6">
              <w:rPr>
                <w:rFonts w:ascii="Times New Roman" w:eastAsia="標楷體" w:hAnsi="Times New Roman" w:cs="Times New Roman"/>
              </w:rPr>
              <w:t>行政法人法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928B4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公職人員利</w:t>
            </w:r>
          </w:p>
          <w:p w:rsidR="007B0484" w:rsidRPr="00F15C1C" w:rsidRDefault="005E3A49" w:rsidP="00F15C1C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15C1C">
              <w:rPr>
                <w:rFonts w:ascii="Times New Roman" w:eastAsia="標楷體" w:hAnsi="Times New Roman" w:cs="Times New Roman"/>
                <w:spacing w:val="-20"/>
              </w:rPr>
              <w:t>益衝突迴避法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B0484" w:rsidRPr="00F15C1C" w:rsidRDefault="001561D3" w:rsidP="000D27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規範（</w:t>
            </w:r>
            <w:r w:rsidR="007B0484" w:rsidRPr="00F15C1C">
              <w:rPr>
                <w:rFonts w:ascii="Times New Roman" w:eastAsia="標楷體" w:hAnsi="Times New Roman" w:cs="Times New Roman"/>
              </w:rPr>
              <w:t>差異</w:t>
            </w:r>
            <w:r w:rsidRPr="00F15C1C">
              <w:rPr>
                <w:rFonts w:ascii="Times New Roman" w:eastAsia="標楷體" w:hAnsi="Times New Roman" w:cs="Times New Roman"/>
              </w:rPr>
              <w:t>）</w:t>
            </w:r>
            <w:r w:rsidR="007B0484" w:rsidRPr="00F15C1C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B0484" w:rsidRPr="00F15C1C" w:rsidRDefault="005E3A49" w:rsidP="007B04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應</w:t>
            </w:r>
            <w:r w:rsidR="007B0484" w:rsidRPr="00F15C1C">
              <w:rPr>
                <w:rFonts w:ascii="Times New Roman" w:eastAsia="標楷體" w:hAnsi="Times New Roman" w:cs="Times New Roman"/>
              </w:rPr>
              <w:t>適用法規</w:t>
            </w:r>
          </w:p>
        </w:tc>
      </w:tr>
      <w:tr w:rsidR="000F1CDE" w:rsidRPr="00F15C1C" w:rsidTr="00F15C1C">
        <w:trPr>
          <w:trHeight w:val="391"/>
        </w:trPr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一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行政法人法與公職人員利益衝突迴避法（以下簡稱利衝法）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均有規定，且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內涵相同</w:t>
            </w:r>
          </w:p>
        </w:tc>
      </w:tr>
      <w:tr w:rsidR="00F15C1C" w:rsidRPr="00F15C1C" w:rsidTr="000B65E7">
        <w:trPr>
          <w:trHeight w:val="816"/>
        </w:trPr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職務利益迴避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1288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7B0484" w:rsidRPr="00F15C1C" w:rsidRDefault="002D1F5B" w:rsidP="000F1CD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依行政法人法及利衝法規定</w:t>
            </w:r>
          </w:p>
        </w:tc>
      </w:tr>
      <w:tr w:rsidR="000F1CDE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0F1CDE" w:rsidRPr="00F15C1C" w:rsidRDefault="000F1CDE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二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</w:rPr>
              <w:t>行政法人法與利衝法</w:t>
            </w:r>
            <w:r w:rsidRPr="00F15C1C">
              <w:rPr>
                <w:rFonts w:ascii="Times New Roman" w:eastAsia="標楷體" w:hAnsi="Times New Roman" w:cs="Times New Roman"/>
                <w:b/>
              </w:rPr>
              <w:t>均有規定，惟</w:t>
            </w:r>
            <w:r w:rsidR="002D1F5B" w:rsidRPr="00F15C1C">
              <w:rPr>
                <w:rFonts w:ascii="Times New Roman" w:eastAsia="標楷體" w:hAnsi="Times New Roman" w:cs="Times New Roman"/>
                <w:b/>
              </w:rPr>
              <w:t>規範</w:t>
            </w:r>
            <w:r w:rsidRPr="00F15C1C">
              <w:rPr>
                <w:rFonts w:ascii="Times New Roman" w:eastAsia="標楷體" w:hAnsi="Times New Roman" w:cs="Times New Roman"/>
                <w:b/>
              </w:rPr>
              <w:t>內涵</w:t>
            </w:r>
            <w:r w:rsidR="00E27F0E" w:rsidRPr="00F15C1C">
              <w:rPr>
                <w:rFonts w:ascii="Times New Roman" w:eastAsia="標楷體" w:hAnsi="Times New Roman" w:cs="Times New Roman"/>
                <w:b/>
              </w:rPr>
              <w:t>尚有差異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7B0484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適用對象</w:t>
            </w:r>
          </w:p>
        </w:tc>
        <w:tc>
          <w:tcPr>
            <w:tcW w:w="1260" w:type="dxa"/>
            <w:vAlign w:val="center"/>
          </w:tcPr>
          <w:p w:rsidR="007B0484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7B0484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款</w:t>
            </w:r>
          </w:p>
        </w:tc>
        <w:tc>
          <w:tcPr>
            <w:tcW w:w="3821" w:type="dxa"/>
          </w:tcPr>
          <w:p w:rsidR="007B0484" w:rsidRPr="00F15C1C" w:rsidRDefault="007B0484" w:rsidP="002D1F5B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利衝法所定公法人適用對象，</w:t>
            </w:r>
            <w:r w:rsidR="002D1F5B" w:rsidRPr="00F15C1C">
              <w:rPr>
                <w:rFonts w:ascii="Times New Roman" w:eastAsia="標楷體" w:hAnsi="Times New Roman" w:cs="Times New Roman"/>
              </w:rPr>
              <w:t>除</w:t>
            </w:r>
            <w:r w:rsidRPr="00F15C1C">
              <w:rPr>
                <w:rFonts w:ascii="Times New Roman" w:eastAsia="標楷體" w:hAnsi="Times New Roman" w:cs="Times New Roman"/>
              </w:rPr>
              <w:t>行政法人法所定之「董（理）事、監事」外，另增加首長、執行長與該等職務</w:t>
            </w:r>
            <w:r w:rsidR="001D2495">
              <w:rPr>
                <w:rFonts w:ascii="Times New Roman" w:eastAsia="標楷體" w:hAnsi="Times New Roman" w:cs="Times New Roman" w:hint="eastAsia"/>
              </w:rPr>
              <w:t>之人</w:t>
            </w:r>
            <w:r w:rsidRPr="00F15C1C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666" w:type="dxa"/>
            <w:vAlign w:val="center"/>
          </w:tcPr>
          <w:p w:rsidR="007B0484" w:rsidRPr="00F15C1C" w:rsidRDefault="007B0484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878"/>
        </w:trPr>
        <w:tc>
          <w:tcPr>
            <w:tcW w:w="2026" w:type="dxa"/>
            <w:vAlign w:val="center"/>
          </w:tcPr>
          <w:p w:rsidR="001561D3" w:rsidRPr="00F15C1C" w:rsidRDefault="000F1CDE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關係人範圍</w:t>
            </w:r>
          </w:p>
        </w:tc>
        <w:tc>
          <w:tcPr>
            <w:tcW w:w="1260" w:type="dxa"/>
            <w:vAlign w:val="center"/>
          </w:tcPr>
          <w:p w:rsidR="001561D3" w:rsidRPr="00F15C1C" w:rsidRDefault="000F1CDE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1561D3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1561D3" w:rsidRPr="00F15C1C" w:rsidRDefault="001561D3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關係人範圍，除行政法人法所定之「配偶或二親等內之親屬」外，另增加與公職人員共同生活之家屬、公職人員或其配偶信託財產之受託人、經公職人員進用之機要人員、各級民意代表之助理、相關營利事業、非營利之法人及非法人團體。</w:t>
            </w:r>
          </w:p>
        </w:tc>
        <w:tc>
          <w:tcPr>
            <w:tcW w:w="1666" w:type="dxa"/>
            <w:vAlign w:val="center"/>
          </w:tcPr>
          <w:p w:rsidR="001561D3" w:rsidRPr="00F15C1C" w:rsidRDefault="001561D3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1622"/>
        </w:trPr>
        <w:tc>
          <w:tcPr>
            <w:tcW w:w="2026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限制與服務機關團體為買賣、租賃、承攬等交易行為</w:t>
            </w:r>
            <w:r w:rsidR="001928B4">
              <w:rPr>
                <w:rFonts w:ascii="Times New Roman" w:eastAsia="標楷體" w:hAnsi="Times New Roman" w:cs="Times New Roman" w:hint="eastAsia"/>
              </w:rPr>
              <w:t>之</w:t>
            </w:r>
            <w:r w:rsidRPr="00F15C1C">
              <w:rPr>
                <w:rFonts w:ascii="Times New Roman" w:eastAsia="標楷體" w:hAnsi="Times New Roman" w:cs="Times New Roman"/>
              </w:rPr>
              <w:t>例外情形，及公開例外情形之規範</w:t>
            </w:r>
          </w:p>
        </w:tc>
        <w:tc>
          <w:tcPr>
            <w:tcW w:w="1260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1928B4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  <w:p w:rsidR="001928B4" w:rsidRPr="00F15C1C" w:rsidRDefault="001928B4" w:rsidP="00F15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行政法人法與利衝法均限制與服務機關團體為買賣、租賃、承攬等交易行為；惟其例外情形規定不同，且利衝法亦訂有應予公開之規定。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三</w:t>
            </w:r>
            <w:r w:rsidRPr="00F15C1C">
              <w:rPr>
                <w:rFonts w:ascii="Times New Roman" w:eastAsia="新細明體" w:hAnsi="Times New Roman" w:cs="Times New Roman"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僅行政法人法訂有規範</w:t>
            </w:r>
          </w:p>
        </w:tc>
      </w:tr>
      <w:tr w:rsidR="00F15C1C" w:rsidRPr="00F15C1C" w:rsidTr="000B65E7"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接受請託關說或利用職務接受招待餽贈之董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行政法人法規範董（理）事及監事就主管事件接受關說或請託，或利用職務關係接受招待或餽贈，得予解聘。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rPr>
          <w:trHeight w:val="1252"/>
        </w:trPr>
        <w:tc>
          <w:tcPr>
            <w:tcW w:w="2026" w:type="dxa"/>
          </w:tcPr>
          <w:p w:rsidR="002D1F5B" w:rsidRPr="00F15C1C" w:rsidRDefault="002D1F5B" w:rsidP="002C1E9B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違反職務利益迴避原則及限制與行政法人為交易行為之董</w:t>
            </w:r>
            <w:r w:rsidRPr="00F15C1C">
              <w:rPr>
                <w:rFonts w:ascii="Times New Roman" w:eastAsia="標楷體" w:hAnsi="Times New Roman" w:cs="Times New Roman"/>
              </w:rPr>
              <w:t>(</w:t>
            </w:r>
            <w:r w:rsidRPr="00F15C1C">
              <w:rPr>
                <w:rFonts w:ascii="Times New Roman" w:eastAsia="標楷體" w:hAnsi="Times New Roman" w:cs="Times New Roman"/>
              </w:rPr>
              <w:t>理</w:t>
            </w:r>
            <w:r w:rsidRPr="00F15C1C">
              <w:rPr>
                <w:rFonts w:ascii="Times New Roman" w:eastAsia="標楷體" w:hAnsi="Times New Roman" w:cs="Times New Roman"/>
              </w:rPr>
              <w:t>)</w:t>
            </w:r>
            <w:r w:rsidRPr="00F15C1C">
              <w:rPr>
                <w:rFonts w:ascii="Times New Roman" w:eastAsia="標楷體" w:hAnsi="Times New Roman" w:cs="Times New Roman"/>
              </w:rPr>
              <w:t>事及監事得予解聘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1928B4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  <w:p w:rsidR="002D1F5B" w:rsidRPr="00F15C1C" w:rsidRDefault="002D1F5B" w:rsidP="001928B4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款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1928B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行政法人規範董（理）事及監事違反該法第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條所定職務利益迴避及第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條所定限制與所屬行政法人為交易之規定，得予解聘。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董（理）事及監事間之關係限制</w:t>
            </w:r>
          </w:p>
        </w:tc>
        <w:tc>
          <w:tcPr>
            <w:tcW w:w="1260" w:type="dxa"/>
            <w:vAlign w:val="center"/>
          </w:tcPr>
          <w:p w:rsidR="001928B4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  <w:p w:rsidR="002D1F5B" w:rsidRPr="00F15C1C" w:rsidRDefault="002D1F5B" w:rsidP="001928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行政法人法規範董（理）事、監事相互間，不得有配偶及三親等以內血親、姻親之關係。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董（理）事及監事與行政法人特定職務之關係限制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行政法人法規範董（理）事、監事之配偶及其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親等以內血親、姻親，不得擔任行政法人總務、會計及人事職務。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2C1E9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董（理）事長或首長進用人員限制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20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C66E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行政法人法規範董（理）事長或首長，不得進用其配偶及</w:t>
            </w:r>
            <w:r w:rsidR="00931968">
              <w:rPr>
                <w:rFonts w:ascii="Times New Roman" w:eastAsia="標楷體" w:hAnsi="Times New Roman" w:cs="Times New Roman" w:hint="eastAsia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親等以內血親、姻親，擔任行政法人職務。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依行政法人法規定</w:t>
            </w:r>
          </w:p>
        </w:tc>
      </w:tr>
      <w:tr w:rsidR="002D1F5B" w:rsidRPr="00F15C1C" w:rsidTr="00F15C1C">
        <w:tc>
          <w:tcPr>
            <w:tcW w:w="10061" w:type="dxa"/>
            <w:gridSpan w:val="5"/>
            <w:shd w:val="clear" w:color="auto" w:fill="FDE9D9" w:themeFill="accent6" w:themeFillTint="33"/>
            <w:vAlign w:val="center"/>
          </w:tcPr>
          <w:p w:rsidR="002D1F5B" w:rsidRPr="00F15C1C" w:rsidRDefault="002D1F5B" w:rsidP="00B17E94">
            <w:pPr>
              <w:spacing w:line="350" w:lineRule="exact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  <w:b/>
              </w:rPr>
              <w:t>四</w:t>
            </w:r>
            <w:r w:rsidRPr="00F15C1C">
              <w:rPr>
                <w:rFonts w:ascii="Times New Roman" w:eastAsia="新細明體" w:hAnsi="Times New Roman" w:cs="Times New Roman"/>
                <w:b/>
              </w:rPr>
              <w:t>、</w:t>
            </w:r>
            <w:r w:rsidRPr="00F15C1C">
              <w:rPr>
                <w:rFonts w:ascii="Times New Roman" w:eastAsia="標楷體" w:hAnsi="Times New Roman" w:cs="Times New Roman"/>
                <w:b/>
              </w:rPr>
              <w:t>僅利衝法訂有規範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利益之分類及定義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4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利衝法規範該法所稱利益之分類及內涵。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利益迴避之定義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利衝法規範「利益衝突」之定義。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自行迴避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2D1F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利衝法規範應自行迴避之情形及當事人通知義務。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利害關係人得申請迴避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2D1F5B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利衝法規範應自行迴避人員如未迴避，利害關係人得向權責機關申請當事人迴避。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就迴避事項處理方式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就受通知或受理迴避案件之處理方式。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43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權責機關團體職權迴避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</w:t>
            </w:r>
            <w:r w:rsidR="00931968">
              <w:rPr>
                <w:rFonts w:ascii="Times New Roman" w:eastAsia="標楷體" w:hAnsi="Times New Roman" w:cs="Times New Roman" w:hint="eastAsia"/>
              </w:rPr>
              <w:t>團體</w:t>
            </w:r>
            <w:r w:rsidRPr="00F15C1C">
              <w:rPr>
                <w:rFonts w:ascii="Times New Roman" w:eastAsia="標楷體" w:hAnsi="Times New Roman" w:cs="Times New Roman"/>
              </w:rPr>
              <w:t>職權迴避事項。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65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人員迴避方式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10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利衝法規範應迴避人員之迴避方式。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年度迴避情形彙報事項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11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9319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利衝法規範權責機關應向監察院或法務部指定之機關（構）或單位</w:t>
            </w:r>
            <w:r w:rsidR="00931968" w:rsidRPr="00F15C1C">
              <w:rPr>
                <w:rFonts w:ascii="Times New Roman" w:eastAsia="標楷體" w:hAnsi="Times New Roman" w:cs="Times New Roman"/>
              </w:rPr>
              <w:t>彙報年度</w:t>
            </w:r>
            <w:r w:rsidRPr="00F15C1C">
              <w:rPr>
                <w:rFonts w:ascii="Times New Roman" w:eastAsia="標楷體" w:hAnsi="Times New Roman" w:cs="Times New Roman"/>
              </w:rPr>
              <w:t>迴避情形。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rPr>
          <w:trHeight w:val="541"/>
        </w:trPr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禁止關係人請託關說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13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利衝法規範關係人不得請託關說事項。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權責機關（構）之調查權限及受查詢對象之說明義務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利衝法規範權責機關為調查利益迴避違反事項，所具查詢權限及受查詢者之說明義務</w:t>
            </w:r>
            <w:r w:rsidR="00C66ED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違反自行、命令、職權迴避處以罰鍰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16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6</w:t>
            </w:r>
            <w:r w:rsidRPr="00F15C1C">
              <w:rPr>
                <w:rFonts w:ascii="Times New Roman" w:eastAsia="標楷體" w:hAnsi="Times New Roman" w:cs="Times New Roman"/>
              </w:rPr>
              <w:t>條、第</w:t>
            </w:r>
            <w:r w:rsidRPr="00F15C1C">
              <w:rPr>
                <w:rFonts w:ascii="Times New Roman" w:eastAsia="標楷體" w:hAnsi="Times New Roman" w:cs="Times New Roman"/>
              </w:rPr>
              <w:t>8</w:t>
            </w:r>
            <w:r w:rsidRPr="00F15C1C">
              <w:rPr>
                <w:rFonts w:ascii="Times New Roman" w:eastAsia="標楷體" w:hAnsi="Times New Roman" w:cs="Times New Roman"/>
              </w:rPr>
              <w:t>條及第</w:t>
            </w:r>
            <w:r w:rsidRPr="00F15C1C">
              <w:rPr>
                <w:rFonts w:ascii="Times New Roman" w:eastAsia="標楷體" w:hAnsi="Times New Roman" w:cs="Times New Roman"/>
              </w:rPr>
              <w:t>9</w:t>
            </w:r>
            <w:r w:rsidRPr="00F15C1C">
              <w:rPr>
                <w:rFonts w:ascii="Times New Roman" w:eastAsia="標楷體" w:hAnsi="Times New Roman" w:cs="Times New Roman"/>
              </w:rPr>
              <w:t>條所定自行、命令、職權迴避規定者，應處以罰鍰。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違反職務利益迴避原則</w:t>
            </w:r>
            <w:r w:rsidR="00E27F0E" w:rsidRPr="00F15C1C">
              <w:rPr>
                <w:rFonts w:ascii="Times New Roman" w:eastAsia="標楷體" w:hAnsi="Times New Roman" w:cs="Times New Roman"/>
              </w:rPr>
              <w:t>及關係人請託關說者</w:t>
            </w:r>
            <w:r w:rsidRPr="00F15C1C">
              <w:rPr>
                <w:rFonts w:ascii="Times New Roman" w:eastAsia="標楷體" w:hAnsi="Times New Roman" w:cs="Times New Roman"/>
              </w:rPr>
              <w:t>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17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12</w:t>
            </w:r>
            <w:r w:rsidRPr="00F15C1C">
              <w:rPr>
                <w:rFonts w:ascii="Times New Roman" w:eastAsia="標楷體" w:hAnsi="Times New Roman" w:cs="Times New Roman"/>
              </w:rPr>
              <w:t>條所定職務利益迴避規定者</w:t>
            </w:r>
            <w:r w:rsidR="00E27F0E" w:rsidRPr="00F15C1C">
              <w:rPr>
                <w:rFonts w:ascii="Times New Roman" w:eastAsia="標楷體" w:hAnsi="Times New Roman" w:cs="Times New Roman"/>
              </w:rPr>
              <w:t>及第</w:t>
            </w:r>
            <w:r w:rsidR="00E27F0E" w:rsidRPr="00F15C1C">
              <w:rPr>
                <w:rFonts w:ascii="Times New Roman" w:eastAsia="標楷體" w:hAnsi="Times New Roman" w:cs="Times New Roman"/>
              </w:rPr>
              <w:t>13</w:t>
            </w:r>
            <w:r w:rsidR="00E27F0E" w:rsidRPr="00F15C1C">
              <w:rPr>
                <w:rFonts w:ascii="Times New Roman" w:eastAsia="標楷體" w:hAnsi="Times New Roman" w:cs="Times New Roman"/>
              </w:rPr>
              <w:t>條所定關係人不得請託關說規定者</w:t>
            </w:r>
            <w:r w:rsidRPr="00F15C1C">
              <w:rPr>
                <w:rFonts w:ascii="Times New Roman" w:eastAsia="標楷體" w:hAnsi="Times New Roman" w:cs="Times New Roman"/>
              </w:rPr>
              <w:t>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lastRenderedPageBreak/>
              <w:t>違反限制與服務機關團體為交易行為情形處以罰鍰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1</w:t>
            </w:r>
            <w:r w:rsidRPr="00F15C1C">
              <w:rPr>
                <w:rFonts w:ascii="Times New Roman" w:eastAsia="標楷體" w:hAnsi="Times New Roman" w:cs="Times New Roman"/>
              </w:rPr>
              <w:t>項限制與服務機關團體為買賣、租賃、承攬等交易行為之規定者，應處以罰鍰。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違反應公開與服務機關團體為例外交易行為情形處以罰鍰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18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  <w:r w:rsidR="00B17E94">
              <w:rPr>
                <w:rFonts w:ascii="Times New Roman" w:eastAsia="標楷體" w:hAnsi="Times New Roman" w:cs="Times New Roman" w:hint="eastAsia"/>
              </w:rPr>
              <w:br/>
            </w: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3</w:t>
            </w:r>
            <w:r w:rsidRPr="00F15C1C">
              <w:rPr>
                <w:rFonts w:ascii="Times New Roman" w:eastAsia="標楷體" w:hAnsi="Times New Roman" w:cs="Times New Roman"/>
              </w:rPr>
              <w:t>項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E27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14</w:t>
            </w:r>
            <w:r w:rsidRPr="00F15C1C">
              <w:rPr>
                <w:rFonts w:ascii="Times New Roman" w:eastAsia="標楷體" w:hAnsi="Times New Roman" w:cs="Times New Roman"/>
              </w:rPr>
              <w:t>條第</w:t>
            </w:r>
            <w:r w:rsidRPr="00F15C1C">
              <w:rPr>
                <w:rFonts w:ascii="Times New Roman" w:eastAsia="標楷體" w:hAnsi="Times New Roman" w:cs="Times New Roman"/>
              </w:rPr>
              <w:t>2</w:t>
            </w:r>
            <w:r w:rsidRPr="00F15C1C">
              <w:rPr>
                <w:rFonts w:ascii="Times New Roman" w:eastAsia="標楷體" w:hAnsi="Times New Roman" w:cs="Times New Roman"/>
              </w:rPr>
              <w:t>項應公開例外與服務機關團體為買賣、租賃、承攬等交易行為之規定者，應處以罰鍰。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  <w:tr w:rsidR="00F15C1C" w:rsidRPr="00F15C1C" w:rsidTr="000B65E7">
        <w:tc>
          <w:tcPr>
            <w:tcW w:w="2026" w:type="dxa"/>
            <w:vAlign w:val="center"/>
          </w:tcPr>
          <w:p w:rsidR="002D1F5B" w:rsidRPr="00F15C1C" w:rsidRDefault="002D1F5B" w:rsidP="000B65E7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受查詢對象違反說明義務處以罰鍰</w:t>
            </w:r>
          </w:p>
        </w:tc>
        <w:tc>
          <w:tcPr>
            <w:tcW w:w="1260" w:type="dxa"/>
            <w:vAlign w:val="center"/>
          </w:tcPr>
          <w:p w:rsidR="002D1F5B" w:rsidRPr="00F15C1C" w:rsidRDefault="002D1F5B" w:rsidP="00F15C1C">
            <w:pPr>
              <w:jc w:val="center"/>
              <w:rPr>
                <w:rFonts w:ascii="Times New Roman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無規定</w:t>
            </w:r>
          </w:p>
        </w:tc>
        <w:tc>
          <w:tcPr>
            <w:tcW w:w="1288" w:type="dxa"/>
            <w:vAlign w:val="center"/>
          </w:tcPr>
          <w:p w:rsidR="002D1F5B" w:rsidRPr="00F15C1C" w:rsidRDefault="00E27F0E" w:rsidP="00F15C1C">
            <w:pPr>
              <w:spacing w:line="35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5C1C">
              <w:rPr>
                <w:rFonts w:ascii="Times New Roman" w:eastAsia="標楷體" w:hAnsi="Times New Roman" w:cs="Times New Roman"/>
              </w:rPr>
              <w:t>第</w:t>
            </w:r>
            <w:r w:rsidRPr="00F15C1C">
              <w:rPr>
                <w:rFonts w:ascii="Times New Roman" w:eastAsia="標楷體" w:hAnsi="Times New Roman" w:cs="Times New Roman"/>
              </w:rPr>
              <w:t>19</w:t>
            </w:r>
            <w:r w:rsidRPr="00F15C1C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3821" w:type="dxa"/>
            <w:vAlign w:val="center"/>
          </w:tcPr>
          <w:p w:rsidR="002D1F5B" w:rsidRPr="00F15C1C" w:rsidRDefault="002D1F5B" w:rsidP="000B65E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利衝法規範違反該法第</w:t>
            </w:r>
            <w:r w:rsidRPr="00F15C1C">
              <w:rPr>
                <w:rFonts w:ascii="Times New Roman" w:eastAsia="標楷體" w:hAnsi="Times New Roman" w:cs="Times New Roman"/>
              </w:rPr>
              <w:t>15</w:t>
            </w:r>
            <w:r w:rsidRPr="00F15C1C">
              <w:rPr>
                <w:rFonts w:ascii="Times New Roman" w:eastAsia="標楷體" w:hAnsi="Times New Roman" w:cs="Times New Roman"/>
              </w:rPr>
              <w:t>條所定受查詢對象說明義務規定者，應處以罰鍰。</w:t>
            </w:r>
          </w:p>
        </w:tc>
        <w:tc>
          <w:tcPr>
            <w:tcW w:w="1666" w:type="dxa"/>
            <w:vAlign w:val="center"/>
          </w:tcPr>
          <w:p w:rsidR="002D1F5B" w:rsidRPr="00F15C1C" w:rsidRDefault="002D1F5B" w:rsidP="001561D3">
            <w:pPr>
              <w:spacing w:line="35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5C1C">
              <w:rPr>
                <w:rFonts w:ascii="Times New Roman" w:eastAsia="標楷體" w:hAnsi="Times New Roman" w:cs="Times New Roman"/>
              </w:rPr>
              <w:t>依利衝法規定</w:t>
            </w:r>
          </w:p>
        </w:tc>
      </w:tr>
    </w:tbl>
    <w:p w:rsidR="00120F58" w:rsidRPr="00F15C1C" w:rsidRDefault="00120F58" w:rsidP="00294506">
      <w:pPr>
        <w:rPr>
          <w:rFonts w:ascii="Times New Roman" w:hAnsi="Times New Roman" w:cs="Times New Roman"/>
        </w:rPr>
      </w:pPr>
    </w:p>
    <w:sectPr w:rsidR="00120F58" w:rsidRPr="00F15C1C" w:rsidSect="001928B4">
      <w:footerReference w:type="default" r:id="rId6"/>
      <w:pgSz w:w="11906" w:h="16838"/>
      <w:pgMar w:top="851" w:right="1191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50" w:rsidRDefault="00A86B50" w:rsidP="006E3A2A">
      <w:r>
        <w:separator/>
      </w:r>
    </w:p>
  </w:endnote>
  <w:endnote w:type="continuationSeparator" w:id="0">
    <w:p w:rsidR="00A86B50" w:rsidRDefault="00A86B50" w:rsidP="006E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87027"/>
      <w:docPartObj>
        <w:docPartGallery w:val="Page Numbers (Bottom of Page)"/>
        <w:docPartUnique/>
      </w:docPartObj>
    </w:sdtPr>
    <w:sdtEndPr/>
    <w:sdtContent>
      <w:p w:rsidR="000D2759" w:rsidRDefault="000D27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96" w:rsidRPr="00123E96">
          <w:rPr>
            <w:noProof/>
            <w:lang w:val="zh-TW"/>
          </w:rPr>
          <w:t>1</w:t>
        </w:r>
        <w:r>
          <w:fldChar w:fldCharType="end"/>
        </w:r>
      </w:p>
    </w:sdtContent>
  </w:sdt>
  <w:p w:rsidR="000D2759" w:rsidRDefault="000D27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50" w:rsidRDefault="00A86B50" w:rsidP="006E3A2A">
      <w:r>
        <w:separator/>
      </w:r>
    </w:p>
  </w:footnote>
  <w:footnote w:type="continuationSeparator" w:id="0">
    <w:p w:rsidR="00A86B50" w:rsidRDefault="00A86B50" w:rsidP="006E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0"/>
    <w:rsid w:val="00000591"/>
    <w:rsid w:val="000068B2"/>
    <w:rsid w:val="00081FFD"/>
    <w:rsid w:val="000B65E7"/>
    <w:rsid w:val="000D2759"/>
    <w:rsid w:val="000E6B83"/>
    <w:rsid w:val="000F1CDE"/>
    <w:rsid w:val="00100F1F"/>
    <w:rsid w:val="00105506"/>
    <w:rsid w:val="00120F58"/>
    <w:rsid w:val="00123E96"/>
    <w:rsid w:val="001561D3"/>
    <w:rsid w:val="001928B4"/>
    <w:rsid w:val="00195851"/>
    <w:rsid w:val="001A3022"/>
    <w:rsid w:val="001A3916"/>
    <w:rsid w:val="001D2495"/>
    <w:rsid w:val="00223248"/>
    <w:rsid w:val="0028193A"/>
    <w:rsid w:val="00294506"/>
    <w:rsid w:val="002D1F5B"/>
    <w:rsid w:val="002F6A1A"/>
    <w:rsid w:val="00317008"/>
    <w:rsid w:val="00340F6D"/>
    <w:rsid w:val="00376BAA"/>
    <w:rsid w:val="00394781"/>
    <w:rsid w:val="003E37B9"/>
    <w:rsid w:val="003F7C29"/>
    <w:rsid w:val="00591B60"/>
    <w:rsid w:val="005A6650"/>
    <w:rsid w:val="005A7C74"/>
    <w:rsid w:val="005E3A49"/>
    <w:rsid w:val="005F4B8A"/>
    <w:rsid w:val="006030A8"/>
    <w:rsid w:val="006056F1"/>
    <w:rsid w:val="0062384F"/>
    <w:rsid w:val="00627430"/>
    <w:rsid w:val="0066362E"/>
    <w:rsid w:val="00665ABD"/>
    <w:rsid w:val="006956EA"/>
    <w:rsid w:val="006C5609"/>
    <w:rsid w:val="006E3A2A"/>
    <w:rsid w:val="006E3FE6"/>
    <w:rsid w:val="0070515A"/>
    <w:rsid w:val="00731523"/>
    <w:rsid w:val="0073660B"/>
    <w:rsid w:val="007A5141"/>
    <w:rsid w:val="007A7542"/>
    <w:rsid w:val="007B0484"/>
    <w:rsid w:val="007B1B33"/>
    <w:rsid w:val="007D2377"/>
    <w:rsid w:val="0080482F"/>
    <w:rsid w:val="008A0AE4"/>
    <w:rsid w:val="00904101"/>
    <w:rsid w:val="00931968"/>
    <w:rsid w:val="009C2CB9"/>
    <w:rsid w:val="009E26F8"/>
    <w:rsid w:val="00A13FD0"/>
    <w:rsid w:val="00A5588E"/>
    <w:rsid w:val="00A86B50"/>
    <w:rsid w:val="00AA30D3"/>
    <w:rsid w:val="00AD6658"/>
    <w:rsid w:val="00B17E94"/>
    <w:rsid w:val="00B35D79"/>
    <w:rsid w:val="00B4413C"/>
    <w:rsid w:val="00BE2BD5"/>
    <w:rsid w:val="00BF1DCD"/>
    <w:rsid w:val="00C32097"/>
    <w:rsid w:val="00C34162"/>
    <w:rsid w:val="00C472EC"/>
    <w:rsid w:val="00C66ED6"/>
    <w:rsid w:val="00C84FBA"/>
    <w:rsid w:val="00C919D5"/>
    <w:rsid w:val="00C93FCE"/>
    <w:rsid w:val="00CB1B0C"/>
    <w:rsid w:val="00CB7C43"/>
    <w:rsid w:val="00D21B1C"/>
    <w:rsid w:val="00D34557"/>
    <w:rsid w:val="00D464E1"/>
    <w:rsid w:val="00DB020C"/>
    <w:rsid w:val="00DB42D5"/>
    <w:rsid w:val="00DB5AF1"/>
    <w:rsid w:val="00E030B5"/>
    <w:rsid w:val="00E27F0E"/>
    <w:rsid w:val="00EB6B4E"/>
    <w:rsid w:val="00EC0CA8"/>
    <w:rsid w:val="00ED77DC"/>
    <w:rsid w:val="00F15C1C"/>
    <w:rsid w:val="00F61E46"/>
    <w:rsid w:val="00FC3AEC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FDBF2-6506-4463-AF43-30689E9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A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A2A"/>
    <w:rPr>
      <w:sz w:val="20"/>
      <w:szCs w:val="20"/>
    </w:rPr>
  </w:style>
  <w:style w:type="paragraph" w:styleId="a8">
    <w:name w:val="List Paragraph"/>
    <w:basedOn w:val="a"/>
    <w:uiPriority w:val="34"/>
    <w:qFormat/>
    <w:rsid w:val="00CB7C4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9478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94781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E3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聶良憲</dc:creator>
  <cp:lastModifiedBy>洪偉滄</cp:lastModifiedBy>
  <cp:revision>2</cp:revision>
  <cp:lastPrinted>2019-07-08T07:41:00Z</cp:lastPrinted>
  <dcterms:created xsi:type="dcterms:W3CDTF">2019-07-15T03:24:00Z</dcterms:created>
  <dcterms:modified xsi:type="dcterms:W3CDTF">2019-07-15T03:24:00Z</dcterms:modified>
</cp:coreProperties>
</file>