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17" w:rsidRDefault="00344E17">
      <w:pPr>
        <w:spacing w:line="360" w:lineRule="exact"/>
        <w:jc w:val="center"/>
        <w:rPr>
          <w:rFonts w:ascii="標楷體"/>
          <w:spacing w:val="-4"/>
          <w:sz w:val="28"/>
        </w:rPr>
      </w:pPr>
      <w:r>
        <w:rPr>
          <w:rFonts w:ascii="標楷體" w:hint="eastAsia"/>
          <w:spacing w:val="-4"/>
          <w:sz w:val="28"/>
        </w:rPr>
        <w:t>統計資料背景說明</w:t>
      </w:r>
    </w:p>
    <w:p w:rsidR="00242BA3" w:rsidRPr="00433AC5" w:rsidRDefault="00242BA3" w:rsidP="00242BA3">
      <w:pPr>
        <w:spacing w:beforeLines="50" w:before="180" w:afterLines="50" w:after="180" w:line="360" w:lineRule="exact"/>
        <w:rPr>
          <w:rFonts w:ascii="標楷體"/>
          <w:spacing w:val="-4"/>
          <w:sz w:val="24"/>
        </w:rPr>
      </w:pPr>
      <w:r w:rsidRPr="00433AC5">
        <w:rPr>
          <w:rFonts w:ascii="標楷體" w:hint="eastAsia"/>
          <w:spacing w:val="-4"/>
          <w:sz w:val="24"/>
        </w:rPr>
        <w:t>資料種類：</w:t>
      </w:r>
      <w:r w:rsidR="00631673" w:rsidRPr="00433AC5">
        <w:rPr>
          <w:rFonts w:ascii="標楷體" w:hint="eastAsia"/>
          <w:spacing w:val="-4"/>
          <w:sz w:val="24"/>
        </w:rPr>
        <w:t>廢棄物</w:t>
      </w:r>
      <w:r w:rsidR="00986BFB">
        <w:rPr>
          <w:rFonts w:ascii="標楷體" w:hint="eastAsia"/>
          <w:spacing w:val="-4"/>
          <w:sz w:val="24"/>
        </w:rPr>
        <w:t>統計</w:t>
      </w:r>
    </w:p>
    <w:p w:rsidR="00344E17" w:rsidRPr="00433AC5" w:rsidRDefault="00242BA3" w:rsidP="00242BA3">
      <w:pPr>
        <w:spacing w:beforeLines="50" w:before="180" w:afterLines="50" w:after="180" w:line="360" w:lineRule="exact"/>
        <w:rPr>
          <w:rFonts w:ascii="標楷體"/>
          <w:spacing w:val="-4"/>
          <w:sz w:val="24"/>
        </w:rPr>
      </w:pPr>
      <w:r w:rsidRPr="00433AC5">
        <w:rPr>
          <w:rFonts w:ascii="標楷體" w:hint="eastAsia"/>
          <w:spacing w:val="-4"/>
          <w:sz w:val="24"/>
        </w:rPr>
        <w:t>資料項目：</w:t>
      </w:r>
      <w:r w:rsidR="00700CA6">
        <w:rPr>
          <w:rFonts w:ascii="標楷體" w:hint="eastAsia"/>
          <w:spacing w:val="-4"/>
          <w:sz w:val="24"/>
        </w:rPr>
        <w:t>金門</w:t>
      </w:r>
      <w:r w:rsidR="00E17B31" w:rsidRPr="00433AC5">
        <w:rPr>
          <w:rFonts w:ascii="標楷體" w:hint="eastAsia"/>
          <w:spacing w:val="-4"/>
          <w:sz w:val="24"/>
        </w:rPr>
        <w:t>縣</w:t>
      </w:r>
      <w:r w:rsidR="00344E17" w:rsidRPr="00433AC5">
        <w:rPr>
          <w:rFonts w:ascii="標楷體" w:hint="eastAsia"/>
          <w:spacing w:val="-4"/>
          <w:sz w:val="24"/>
        </w:rPr>
        <w:t>環境保護局資源回收成果統計</w:t>
      </w:r>
    </w:p>
    <w:p w:rsidR="00344E17" w:rsidRPr="00433AC5" w:rsidRDefault="00344E17">
      <w:pPr>
        <w:numPr>
          <w:ilvl w:val="0"/>
          <w:numId w:val="3"/>
        </w:numPr>
        <w:spacing w:line="320" w:lineRule="exact"/>
        <w:jc w:val="both"/>
        <w:rPr>
          <w:rFonts w:ascii="標楷體" w:hAnsi="標楷體"/>
          <w:sz w:val="24"/>
        </w:rPr>
      </w:pPr>
      <w:r w:rsidRPr="00433AC5">
        <w:rPr>
          <w:rFonts w:ascii="標楷體" w:hAnsi="標楷體" w:hint="eastAsia"/>
          <w:sz w:val="24"/>
        </w:rPr>
        <w:t>發布及編製機關單位</w:t>
      </w:r>
    </w:p>
    <w:p w:rsidR="00344E17" w:rsidRDefault="00344E17">
      <w:pPr>
        <w:spacing w:line="320" w:lineRule="exact"/>
        <w:ind w:left="720" w:hanging="426"/>
        <w:jc w:val="both"/>
        <w:rPr>
          <w:rFonts w:ascii="標楷體" w:hAnsi="標楷體"/>
          <w:spacing w:val="-4"/>
          <w:sz w:val="24"/>
        </w:rPr>
      </w:pPr>
      <w:proofErr w:type="gramStart"/>
      <w:r>
        <w:rPr>
          <w:rFonts w:ascii="標楷體" w:hAnsi="標楷體" w:hint="eastAsia"/>
          <w:spacing w:val="-4"/>
          <w:sz w:val="24"/>
        </w:rPr>
        <w:t>＊</w:t>
      </w:r>
      <w:proofErr w:type="gramEnd"/>
      <w:r>
        <w:rPr>
          <w:rFonts w:ascii="標楷體" w:hAnsi="標楷體" w:hint="eastAsia"/>
          <w:spacing w:val="-4"/>
          <w:sz w:val="24"/>
        </w:rPr>
        <w:t>發布機關、單位：</w:t>
      </w:r>
      <w:r w:rsidR="00700CA6">
        <w:rPr>
          <w:rFonts w:ascii="標楷體" w:hAnsi="標楷體" w:hint="eastAsia"/>
          <w:spacing w:val="-4"/>
          <w:sz w:val="24"/>
        </w:rPr>
        <w:t>金門</w:t>
      </w:r>
      <w:r w:rsidR="00E17B31">
        <w:rPr>
          <w:rFonts w:ascii="標楷體" w:hAnsi="標楷體" w:hint="eastAsia"/>
          <w:spacing w:val="-4"/>
          <w:sz w:val="24"/>
        </w:rPr>
        <w:t>縣</w:t>
      </w:r>
      <w:r>
        <w:rPr>
          <w:rFonts w:ascii="標楷體" w:hAnsi="標楷體" w:hint="eastAsia"/>
          <w:spacing w:val="-4"/>
          <w:sz w:val="24"/>
        </w:rPr>
        <w:t>環境保護局會計室</w:t>
      </w:r>
    </w:p>
    <w:p w:rsidR="00344E17" w:rsidRDefault="005A2E09">
      <w:pPr>
        <w:spacing w:line="320" w:lineRule="exact"/>
        <w:ind w:left="720" w:hanging="426"/>
        <w:jc w:val="both"/>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編製單位：</w:t>
      </w:r>
      <w:r w:rsidR="00E17B31">
        <w:rPr>
          <w:rFonts w:ascii="標楷體" w:hAnsi="標楷體" w:hint="eastAsia"/>
          <w:sz w:val="24"/>
        </w:rPr>
        <w:t>廢</w:t>
      </w:r>
      <w:r w:rsidR="00700CA6">
        <w:rPr>
          <w:rFonts w:ascii="標楷體" w:hAnsi="標楷體" w:hint="eastAsia"/>
          <w:sz w:val="24"/>
        </w:rPr>
        <w:t>管</w:t>
      </w:r>
      <w:r w:rsidR="00E17B31">
        <w:rPr>
          <w:rFonts w:ascii="標楷體" w:hAnsi="標楷體" w:hint="eastAsia"/>
          <w:sz w:val="24"/>
        </w:rPr>
        <w:t>科</w:t>
      </w:r>
    </w:p>
    <w:p w:rsidR="00344E17" w:rsidRDefault="00344E17">
      <w:pPr>
        <w:spacing w:line="320" w:lineRule="exact"/>
        <w:ind w:left="720" w:hanging="426"/>
        <w:jc w:val="both"/>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 xml:space="preserve">聯 絡 </w:t>
      </w:r>
      <w:r w:rsidR="00EA46BA">
        <w:rPr>
          <w:rFonts w:ascii="標楷體" w:hAnsi="標楷體" w:hint="eastAsia"/>
          <w:sz w:val="24"/>
        </w:rPr>
        <w:t>人：</w:t>
      </w:r>
      <w:r w:rsidR="00700CA6">
        <w:rPr>
          <w:rFonts w:ascii="標楷體" w:hAnsi="標楷體" w:hint="eastAsia"/>
          <w:sz w:val="24"/>
        </w:rPr>
        <w:t>鄭孟郎</w:t>
      </w:r>
    </w:p>
    <w:p w:rsidR="00344E17" w:rsidRDefault="00344E17">
      <w:pPr>
        <w:spacing w:line="320" w:lineRule="exact"/>
        <w:ind w:left="720" w:hanging="426"/>
        <w:jc w:val="both"/>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聯絡電話：</w:t>
      </w:r>
      <w:r w:rsidR="00E17B31">
        <w:rPr>
          <w:rFonts w:ascii="標楷體" w:hAnsi="標楷體" w:hint="eastAsia"/>
          <w:sz w:val="24"/>
        </w:rPr>
        <w:t>0</w:t>
      </w:r>
      <w:r w:rsidR="00700CA6">
        <w:rPr>
          <w:rFonts w:ascii="標楷體" w:hAnsi="標楷體" w:hint="eastAsia"/>
          <w:sz w:val="24"/>
        </w:rPr>
        <w:t>82</w:t>
      </w:r>
      <w:r>
        <w:rPr>
          <w:rFonts w:ascii="標楷體" w:hAnsi="標楷體" w:hint="eastAsia"/>
          <w:sz w:val="24"/>
        </w:rPr>
        <w:t>-</w:t>
      </w:r>
      <w:r w:rsidR="00700CA6">
        <w:rPr>
          <w:rFonts w:ascii="標楷體" w:hAnsi="標楷體" w:hint="eastAsia"/>
          <w:sz w:val="24"/>
        </w:rPr>
        <w:t>336823</w:t>
      </w:r>
      <w:r w:rsidR="00DD0700">
        <w:rPr>
          <w:rFonts w:ascii="標楷體" w:hAnsi="標楷體" w:hint="eastAsia"/>
          <w:sz w:val="24"/>
        </w:rPr>
        <w:t>#</w:t>
      </w:r>
      <w:r w:rsidR="00700CA6">
        <w:rPr>
          <w:rFonts w:ascii="標楷體" w:hAnsi="標楷體" w:hint="eastAsia"/>
          <w:sz w:val="24"/>
        </w:rPr>
        <w:t>803</w:t>
      </w:r>
    </w:p>
    <w:p w:rsidR="00344E17" w:rsidRDefault="00344E17">
      <w:pPr>
        <w:spacing w:line="320" w:lineRule="exact"/>
        <w:ind w:left="720" w:hanging="426"/>
        <w:jc w:val="both"/>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傳</w:t>
      </w:r>
      <w:r w:rsidR="00951518">
        <w:rPr>
          <w:rFonts w:ascii="標楷體" w:hAnsi="標楷體" w:hint="eastAsia"/>
          <w:sz w:val="24"/>
        </w:rPr>
        <w:t xml:space="preserve">    </w:t>
      </w:r>
      <w:r>
        <w:rPr>
          <w:rFonts w:ascii="標楷體" w:hAnsi="標楷體" w:hint="eastAsia"/>
          <w:sz w:val="24"/>
        </w:rPr>
        <w:t>真：</w:t>
      </w:r>
      <w:r w:rsidR="00E17B31">
        <w:rPr>
          <w:rFonts w:ascii="標楷體" w:hAnsi="標楷體" w:hint="eastAsia"/>
          <w:sz w:val="24"/>
        </w:rPr>
        <w:t>0</w:t>
      </w:r>
      <w:r w:rsidR="00700CA6">
        <w:rPr>
          <w:rFonts w:ascii="標楷體" w:hAnsi="標楷體" w:hint="eastAsia"/>
          <w:sz w:val="24"/>
        </w:rPr>
        <w:t>82</w:t>
      </w:r>
      <w:r>
        <w:rPr>
          <w:rFonts w:ascii="標楷體" w:hAnsi="標楷體" w:hint="eastAsia"/>
          <w:sz w:val="24"/>
        </w:rPr>
        <w:t>-</w:t>
      </w:r>
      <w:r w:rsidR="00700CA6">
        <w:rPr>
          <w:rFonts w:ascii="標楷體" w:hAnsi="標楷體" w:hint="eastAsia"/>
          <w:sz w:val="24"/>
        </w:rPr>
        <w:t>336048</w:t>
      </w:r>
    </w:p>
    <w:p w:rsidR="00344E17" w:rsidRPr="00547161" w:rsidRDefault="00344E17">
      <w:pPr>
        <w:spacing w:line="320" w:lineRule="exact"/>
        <w:ind w:left="720" w:hanging="426"/>
        <w:jc w:val="both"/>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電子信箱：</w:t>
      </w:r>
      <w:r w:rsidR="00DA41CE" w:rsidRPr="00DA41CE">
        <w:rPr>
          <w:rFonts w:ascii="標楷體" w:hAnsi="標楷體"/>
          <w:sz w:val="24"/>
        </w:rPr>
        <w:t>jmL@kepb.gov.tw</w:t>
      </w:r>
    </w:p>
    <w:p w:rsidR="00344E17" w:rsidRDefault="00344E17">
      <w:pPr>
        <w:spacing w:line="320" w:lineRule="exact"/>
        <w:ind w:left="540" w:hanging="540"/>
        <w:jc w:val="both"/>
        <w:rPr>
          <w:rFonts w:ascii="標楷體" w:hAnsi="標楷體"/>
          <w:sz w:val="24"/>
        </w:rPr>
      </w:pPr>
      <w:r>
        <w:rPr>
          <w:rFonts w:ascii="標楷體" w:hAnsi="標楷體" w:hint="eastAsia"/>
          <w:sz w:val="24"/>
        </w:rPr>
        <w:t>二、發布形式</w:t>
      </w:r>
    </w:p>
    <w:p w:rsidR="00344E17" w:rsidRDefault="00344E17">
      <w:pPr>
        <w:spacing w:line="320" w:lineRule="exact"/>
        <w:ind w:left="294"/>
        <w:jc w:val="both"/>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口頭：（ ）記者會或說明會</w:t>
      </w:r>
    </w:p>
    <w:p w:rsidR="00344E17" w:rsidRDefault="00344E17">
      <w:pPr>
        <w:spacing w:line="320" w:lineRule="exact"/>
        <w:ind w:left="294"/>
        <w:jc w:val="both"/>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書面：（</w:t>
      </w:r>
      <w:r>
        <w:rPr>
          <w:rFonts w:ascii="標楷體" w:hAnsi="標楷體"/>
          <w:sz w:val="24"/>
        </w:rPr>
        <w:t xml:space="preserve"> </w:t>
      </w:r>
      <w:r>
        <w:rPr>
          <w:rFonts w:ascii="標楷體" w:hAnsi="標楷體" w:hint="eastAsia"/>
          <w:sz w:val="24"/>
        </w:rPr>
        <w:t>）新聞稿</w:t>
      </w:r>
      <w:r>
        <w:rPr>
          <w:rFonts w:ascii="標楷體" w:hAnsi="標楷體"/>
          <w:sz w:val="24"/>
        </w:rPr>
        <w:t xml:space="preserve">   </w:t>
      </w:r>
      <w:r>
        <w:rPr>
          <w:rFonts w:ascii="標楷體" w:hAnsi="標楷體" w:hint="eastAsia"/>
          <w:sz w:val="24"/>
        </w:rPr>
        <w:t>（</w:t>
      </w:r>
      <w:r>
        <w:rPr>
          <w:rFonts w:ascii="標楷體" w:hAnsi="標楷體" w:hint="eastAsia"/>
          <w:sz w:val="24"/>
        </w:rPr>
        <w:sym w:font="Symbol" w:char="F0DA"/>
      </w:r>
      <w:r>
        <w:rPr>
          <w:rFonts w:ascii="標楷體" w:hAnsi="標楷體" w:hint="eastAsia"/>
          <w:sz w:val="24"/>
        </w:rPr>
        <w:t>）報表  （ ）書刊，刊名：</w:t>
      </w:r>
    </w:p>
    <w:p w:rsidR="00344E17" w:rsidRDefault="00344E17">
      <w:pPr>
        <w:spacing w:line="320" w:lineRule="exact"/>
        <w:ind w:left="294"/>
        <w:jc w:val="both"/>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電子媒體：</w:t>
      </w:r>
    </w:p>
    <w:p w:rsidR="00344E17" w:rsidRDefault="00344E17">
      <w:pPr>
        <w:spacing w:line="320" w:lineRule="exact"/>
        <w:ind w:left="966" w:right="-328" w:hanging="294"/>
        <w:rPr>
          <w:rFonts w:ascii="標楷體" w:hAnsi="標楷體"/>
          <w:sz w:val="24"/>
        </w:rPr>
      </w:pPr>
      <w:r>
        <w:rPr>
          <w:rFonts w:ascii="標楷體" w:hAnsi="標楷體" w:hint="eastAsia"/>
          <w:sz w:val="24"/>
        </w:rPr>
        <w:t>（</w:t>
      </w:r>
      <w:proofErr w:type="gramStart"/>
      <w:r w:rsidR="004046E7">
        <w:rPr>
          <w:rFonts w:hint="eastAsia"/>
          <w:sz w:val="28"/>
        </w:rPr>
        <w:t>ˇ</w:t>
      </w:r>
      <w:proofErr w:type="gramEnd"/>
      <w:r>
        <w:rPr>
          <w:rFonts w:ascii="標楷體" w:hAnsi="標楷體" w:hint="eastAsia"/>
          <w:sz w:val="24"/>
        </w:rPr>
        <w:t>）</w:t>
      </w:r>
      <w:proofErr w:type="gramStart"/>
      <w:r>
        <w:rPr>
          <w:rFonts w:ascii="標楷體" w:hAnsi="標楷體" w:hint="eastAsia"/>
          <w:sz w:val="24"/>
        </w:rPr>
        <w:t>線上書刊</w:t>
      </w:r>
      <w:proofErr w:type="gramEnd"/>
      <w:r>
        <w:rPr>
          <w:rFonts w:ascii="標楷體" w:hAnsi="標楷體" w:hint="eastAsia"/>
          <w:sz w:val="24"/>
        </w:rPr>
        <w:t>及資料庫，網址：</w:t>
      </w:r>
      <w:hyperlink r:id="rId8" w:history="1">
        <w:r w:rsidR="004D652A" w:rsidRPr="00A66583">
          <w:rPr>
            <w:rStyle w:val="a4"/>
            <w:sz w:val="28"/>
          </w:rPr>
          <w:t>http://www.</w:t>
        </w:r>
        <w:r w:rsidR="004D652A" w:rsidRPr="00A66583">
          <w:rPr>
            <w:rStyle w:val="a4"/>
            <w:rFonts w:hint="eastAsia"/>
            <w:sz w:val="28"/>
          </w:rPr>
          <w:t>k</w:t>
        </w:r>
        <w:r w:rsidR="004D652A" w:rsidRPr="00A66583">
          <w:rPr>
            <w:rStyle w:val="a4"/>
            <w:sz w:val="28"/>
          </w:rPr>
          <w:t>epb.gov.tw</w:t>
        </w:r>
      </w:hyperlink>
    </w:p>
    <w:p w:rsidR="00344E17" w:rsidRDefault="00344E17">
      <w:pPr>
        <w:spacing w:line="320" w:lineRule="exact"/>
        <w:ind w:left="966" w:right="-328" w:hanging="294"/>
        <w:jc w:val="both"/>
        <w:rPr>
          <w:rFonts w:ascii="標楷體" w:hAnsi="標楷體"/>
          <w:sz w:val="24"/>
        </w:rPr>
      </w:pPr>
      <w:r>
        <w:rPr>
          <w:rFonts w:ascii="標楷體" w:hAnsi="標楷體" w:hint="eastAsia"/>
          <w:sz w:val="24"/>
        </w:rPr>
        <w:t>（</w:t>
      </w:r>
      <w:r>
        <w:rPr>
          <w:rFonts w:ascii="標楷體" w:hAnsi="標楷體"/>
          <w:sz w:val="24"/>
        </w:rPr>
        <w:t xml:space="preserve"> </w:t>
      </w:r>
      <w:r>
        <w:rPr>
          <w:rFonts w:ascii="標楷體" w:hAnsi="標楷體" w:hint="eastAsia"/>
          <w:sz w:val="24"/>
        </w:rPr>
        <w:t>）磁片</w:t>
      </w:r>
      <w:r>
        <w:rPr>
          <w:rFonts w:ascii="標楷體" w:hAnsi="標楷體"/>
          <w:sz w:val="24"/>
        </w:rPr>
        <w:t xml:space="preserve">   </w:t>
      </w:r>
      <w:r>
        <w:rPr>
          <w:rFonts w:ascii="標楷體" w:hAnsi="標楷體" w:hint="eastAsia"/>
          <w:sz w:val="24"/>
        </w:rPr>
        <w:t>（</w:t>
      </w:r>
      <w:r>
        <w:rPr>
          <w:rFonts w:ascii="標楷體" w:hAnsi="標楷體"/>
          <w:sz w:val="24"/>
        </w:rPr>
        <w:t xml:space="preserve"> </w:t>
      </w:r>
      <w:r>
        <w:rPr>
          <w:rFonts w:ascii="標楷體" w:hAnsi="標楷體" w:hint="eastAsia"/>
          <w:sz w:val="24"/>
        </w:rPr>
        <w:t>）光碟片</w:t>
      </w:r>
      <w:r>
        <w:rPr>
          <w:rFonts w:ascii="標楷體" w:hAnsi="標楷體"/>
          <w:sz w:val="24"/>
        </w:rPr>
        <w:t xml:space="preserve">  </w:t>
      </w:r>
      <w:r>
        <w:rPr>
          <w:rFonts w:ascii="標楷體" w:hAnsi="標楷體" w:hint="eastAsia"/>
          <w:sz w:val="24"/>
        </w:rPr>
        <w:t>（</w:t>
      </w:r>
      <w:r>
        <w:rPr>
          <w:rFonts w:ascii="標楷體" w:hAnsi="標楷體"/>
          <w:sz w:val="24"/>
        </w:rPr>
        <w:t xml:space="preserve"> </w:t>
      </w:r>
      <w:r>
        <w:rPr>
          <w:rFonts w:ascii="標楷體" w:hAnsi="標楷體" w:hint="eastAsia"/>
          <w:sz w:val="24"/>
        </w:rPr>
        <w:t>）其他</w:t>
      </w:r>
    </w:p>
    <w:p w:rsidR="00344E17" w:rsidRDefault="00344E17">
      <w:pPr>
        <w:spacing w:line="320" w:lineRule="exact"/>
        <w:ind w:left="616" w:hanging="616"/>
        <w:jc w:val="both"/>
        <w:rPr>
          <w:rFonts w:ascii="標楷體" w:hAnsi="標楷體"/>
          <w:sz w:val="24"/>
        </w:rPr>
      </w:pPr>
      <w:r>
        <w:rPr>
          <w:rFonts w:ascii="標楷體" w:hAnsi="標楷體" w:hint="eastAsia"/>
          <w:sz w:val="24"/>
        </w:rPr>
        <w:t>三、資料範圍、週期及時效</w:t>
      </w:r>
    </w:p>
    <w:p w:rsidR="00344E17" w:rsidRPr="005A2E09" w:rsidRDefault="00344E17" w:rsidP="001E74A2">
      <w:pPr>
        <w:pStyle w:val="a3"/>
        <w:spacing w:line="320" w:lineRule="exact"/>
        <w:ind w:leftChars="111" w:left="847" w:hangingChars="205" w:hanging="492"/>
        <w:rPr>
          <w:rFonts w:hAnsi="標楷體"/>
          <w:sz w:val="24"/>
        </w:rPr>
      </w:pPr>
      <w:r w:rsidRPr="005A2E09">
        <w:rPr>
          <w:rFonts w:hAnsi="標楷體" w:hint="eastAsia"/>
          <w:sz w:val="24"/>
        </w:rPr>
        <w:t>＊統計地區範圍及對象：</w:t>
      </w:r>
      <w:r w:rsidR="00216DCE" w:rsidRPr="005A2E09">
        <w:rPr>
          <w:rFonts w:hAnsi="標楷體" w:hint="eastAsia"/>
          <w:sz w:val="24"/>
        </w:rPr>
        <w:t>凡</w:t>
      </w:r>
      <w:r w:rsidRPr="005A2E09">
        <w:rPr>
          <w:rFonts w:hAnsi="標楷體" w:hint="eastAsia"/>
          <w:sz w:val="24"/>
        </w:rPr>
        <w:t>本</w:t>
      </w:r>
      <w:r w:rsidR="00805DB7">
        <w:rPr>
          <w:rFonts w:hAnsi="標楷體" w:hint="eastAsia"/>
          <w:sz w:val="24"/>
        </w:rPr>
        <w:t>縣</w:t>
      </w:r>
      <w:r w:rsidR="00216DCE" w:rsidRPr="005A2E09">
        <w:rPr>
          <w:rFonts w:hAnsi="標楷體" w:hint="eastAsia"/>
          <w:sz w:val="24"/>
        </w:rPr>
        <w:t>環保</w:t>
      </w:r>
      <w:r w:rsidR="002B7342">
        <w:rPr>
          <w:rFonts w:hAnsi="標楷體" w:hint="eastAsia"/>
          <w:sz w:val="24"/>
        </w:rPr>
        <w:t>局及各鄉鎮公所</w:t>
      </w:r>
      <w:r w:rsidR="00216DCE" w:rsidRPr="005A2E09">
        <w:rPr>
          <w:rFonts w:hAnsi="標楷體" w:hint="eastAsia"/>
          <w:sz w:val="24"/>
        </w:rPr>
        <w:t>所轄</w:t>
      </w:r>
      <w:r w:rsidRPr="005A2E09">
        <w:rPr>
          <w:rFonts w:hAnsi="標楷體" w:hint="eastAsia"/>
          <w:sz w:val="24"/>
        </w:rPr>
        <w:t>清潔隊、社區、學校、機關團體回收之一般廢棄物均為統計對象。</w:t>
      </w:r>
    </w:p>
    <w:p w:rsidR="00344E17" w:rsidRPr="005A2E09" w:rsidRDefault="00344E17" w:rsidP="001E74A2">
      <w:pPr>
        <w:tabs>
          <w:tab w:val="left" w:pos="10560"/>
          <w:tab w:val="left" w:pos="11520"/>
          <w:tab w:val="left" w:pos="12480"/>
          <w:tab w:val="left" w:pos="13440"/>
        </w:tabs>
        <w:autoSpaceDE w:val="0"/>
        <w:autoSpaceDN w:val="0"/>
        <w:spacing w:line="320" w:lineRule="exact"/>
        <w:ind w:leftChars="96" w:left="427" w:right="71" w:hangingChars="50" w:hanging="120"/>
        <w:rPr>
          <w:rFonts w:ascii="標楷體" w:hAnsi="標楷體"/>
          <w:sz w:val="24"/>
        </w:rPr>
      </w:pPr>
      <w:proofErr w:type="gramStart"/>
      <w:r w:rsidRPr="005A2E09">
        <w:rPr>
          <w:rFonts w:ascii="標楷體" w:hAnsi="標楷體" w:hint="eastAsia"/>
          <w:sz w:val="24"/>
        </w:rPr>
        <w:t>＊</w:t>
      </w:r>
      <w:proofErr w:type="gramEnd"/>
      <w:r w:rsidRPr="005A2E09">
        <w:rPr>
          <w:rFonts w:ascii="標楷體" w:hAnsi="標楷體" w:hint="eastAsia"/>
          <w:sz w:val="24"/>
        </w:rPr>
        <w:t>統計標準時間：以每月一日至月底之事實為</w:t>
      </w:r>
      <w:proofErr w:type="gramStart"/>
      <w:r w:rsidRPr="005A2E09">
        <w:rPr>
          <w:rFonts w:ascii="標楷體" w:hAnsi="標楷體" w:hint="eastAsia"/>
          <w:sz w:val="24"/>
        </w:rPr>
        <w:t>準</w:t>
      </w:r>
      <w:proofErr w:type="gramEnd"/>
      <w:r w:rsidRPr="005A2E09">
        <w:rPr>
          <w:rFonts w:ascii="標楷體" w:hAnsi="標楷體" w:hint="eastAsia"/>
          <w:sz w:val="24"/>
        </w:rPr>
        <w:t>。</w:t>
      </w:r>
    </w:p>
    <w:p w:rsidR="00344E17" w:rsidRDefault="00344E17">
      <w:pPr>
        <w:tabs>
          <w:tab w:val="left" w:pos="10560"/>
          <w:tab w:val="left" w:pos="11520"/>
          <w:tab w:val="left" w:pos="12480"/>
          <w:tab w:val="left" w:pos="13440"/>
        </w:tabs>
        <w:autoSpaceDE w:val="0"/>
        <w:autoSpaceDN w:val="0"/>
        <w:spacing w:line="320" w:lineRule="exact"/>
        <w:ind w:leftChars="92" w:left="2694" w:right="71" w:hangingChars="1000" w:hanging="2400"/>
        <w:rPr>
          <w:rFonts w:ascii="標楷體" w:hAnsi="標楷體"/>
          <w:sz w:val="24"/>
        </w:rPr>
      </w:pPr>
      <w:proofErr w:type="gramStart"/>
      <w:r>
        <w:rPr>
          <w:rFonts w:ascii="標楷體" w:hAnsi="標楷體" w:hint="eastAsia"/>
          <w:sz w:val="24"/>
        </w:rPr>
        <w:t>＊</w:t>
      </w:r>
      <w:proofErr w:type="gramEnd"/>
      <w:r>
        <w:rPr>
          <w:rFonts w:ascii="標楷體" w:hAnsi="標楷體" w:hint="eastAsia"/>
          <w:sz w:val="24"/>
        </w:rPr>
        <w:t>統計項目定義：</w:t>
      </w:r>
    </w:p>
    <w:p w:rsidR="00344E17" w:rsidRDefault="00344E17">
      <w:pPr>
        <w:pStyle w:val="a5"/>
        <w:tabs>
          <w:tab w:val="left" w:pos="16080"/>
        </w:tabs>
        <w:spacing w:line="320" w:lineRule="exact"/>
        <w:ind w:leftChars="184" w:left="1110" w:hangingChars="217" w:hanging="521"/>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005E39CB" w:rsidRPr="005E39CB">
        <w:rPr>
          <w:rFonts w:hint="eastAsia"/>
        </w:rPr>
        <w:t xml:space="preserve"> </w:t>
      </w:r>
      <w:r w:rsidR="005E39CB" w:rsidRPr="005E39CB">
        <w:rPr>
          <w:rFonts w:ascii="標楷體" w:eastAsia="標楷體" w:hAnsi="標楷體" w:hint="eastAsia"/>
          <w:szCs w:val="24"/>
        </w:rPr>
        <w:t>資源垃圾：指依廢棄物清理法第五條第六項公告之一般廢棄物回收項目(廚餘除外)及第十五條第二項公告應回收之物品或其包</w:t>
      </w:r>
      <w:r w:rsidR="00522263" w:rsidRPr="00522263">
        <w:rPr>
          <w:rFonts w:ascii="標楷體" w:eastAsia="標楷體" w:hAnsi="標楷體" w:hint="eastAsia"/>
          <w:szCs w:val="24"/>
        </w:rPr>
        <w:t>裝、容器經食用或使用後產生之一般廢棄物，包括直轄市、縣主管機關增訂並報請中央主管機關備查之其他一般廢棄物回收項目，然「機動車輛」、「廚餘」回收量已另案統計不在本表範圍。</w:t>
      </w:r>
    </w:p>
    <w:p w:rsidR="00344E17" w:rsidRDefault="00344E17">
      <w:pPr>
        <w:pStyle w:val="a5"/>
        <w:tabs>
          <w:tab w:val="left" w:pos="16080"/>
        </w:tabs>
        <w:spacing w:line="320" w:lineRule="exact"/>
        <w:ind w:leftChars="184" w:left="1110" w:hangingChars="217" w:hanging="521"/>
        <w:rPr>
          <w:rFonts w:ascii="標楷體" w:eastAsia="標楷體" w:hAnsi="標楷體"/>
          <w:szCs w:val="24"/>
        </w:rPr>
      </w:pPr>
      <w:r>
        <w:rPr>
          <w:rFonts w:ascii="標楷體" w:eastAsia="標楷體" w:hAnsi="標楷體" w:hint="eastAsia"/>
          <w:szCs w:val="24"/>
        </w:rPr>
        <w:t>(二)</w:t>
      </w:r>
      <w:r w:rsidR="00BC2268" w:rsidRPr="00BC2268">
        <w:rPr>
          <w:rFonts w:hint="eastAsia"/>
        </w:rPr>
        <w:t xml:space="preserve"> </w:t>
      </w:r>
      <w:r w:rsidR="00BC2268" w:rsidRPr="00BC2268">
        <w:rPr>
          <w:rFonts w:ascii="標楷體" w:eastAsia="標楷體" w:hAnsi="標楷體" w:hint="eastAsia"/>
          <w:szCs w:val="24"/>
        </w:rPr>
        <w:t>回收單位：指清潔隊、社區、學校、機關團體四大類單位，其中機關團體包括一般私人企業、公務部門、風景遊樂區、慈善團</w:t>
      </w:r>
      <w:r w:rsidR="007E6A0C" w:rsidRPr="007E6A0C">
        <w:rPr>
          <w:rFonts w:ascii="標楷體" w:eastAsia="標楷體" w:hAnsi="標楷體" w:hint="eastAsia"/>
          <w:szCs w:val="24"/>
        </w:rPr>
        <w:t>體等(不含回收商)等，如由回收商取得回收資料，不可與清潔隊、社區、學校、機關團體提供之資料重複計算。另拾荒者若納入各執行機關輔導之義工時，清潔隊可製作表格供其填報，並審核其所提報資料無誤且不重複，可將其資料納入。</w:t>
      </w:r>
    </w:p>
    <w:p w:rsidR="00344E17" w:rsidRDefault="00344E17">
      <w:pPr>
        <w:pStyle w:val="a5"/>
        <w:tabs>
          <w:tab w:val="left" w:pos="16080"/>
        </w:tabs>
        <w:spacing w:line="320" w:lineRule="exact"/>
        <w:ind w:leftChars="184" w:left="1110" w:hangingChars="217" w:hanging="521"/>
        <w:rPr>
          <w:rFonts w:ascii="標楷體" w:eastAsia="標楷體" w:hAnsi="標楷體"/>
          <w:szCs w:val="24"/>
        </w:rPr>
      </w:pPr>
      <w:r>
        <w:rPr>
          <w:rFonts w:ascii="標楷體" w:eastAsia="標楷體" w:hAnsi="標楷體" w:hint="eastAsia"/>
          <w:szCs w:val="24"/>
        </w:rPr>
        <w:t>(三)</w:t>
      </w:r>
      <w:r w:rsidR="00676AFF" w:rsidRPr="00676AFF">
        <w:rPr>
          <w:rFonts w:hint="eastAsia"/>
        </w:rPr>
        <w:t xml:space="preserve"> </w:t>
      </w:r>
      <w:r w:rsidR="00676AFF" w:rsidRPr="00676AFF">
        <w:rPr>
          <w:rFonts w:ascii="標楷體" w:eastAsia="標楷體" w:hAnsi="標楷體" w:hint="eastAsia"/>
          <w:szCs w:val="24"/>
        </w:rPr>
        <w:t>環保單位自行清運：為縣環境保護局及各鄉鎮公所(清潔隊)自行回收之資源垃圾。</w:t>
      </w:r>
    </w:p>
    <w:p w:rsidR="00344E17" w:rsidRPr="005A2E09" w:rsidRDefault="00344E17">
      <w:pPr>
        <w:pStyle w:val="a5"/>
        <w:tabs>
          <w:tab w:val="left" w:pos="16080"/>
        </w:tabs>
        <w:spacing w:line="320" w:lineRule="exact"/>
        <w:ind w:leftChars="184" w:left="1110" w:hangingChars="217" w:hanging="521"/>
        <w:rPr>
          <w:rFonts w:ascii="標楷體" w:eastAsia="標楷體" w:hAnsi="標楷體"/>
          <w:szCs w:val="24"/>
        </w:rPr>
      </w:pPr>
      <w:r w:rsidRPr="005A2E09">
        <w:rPr>
          <w:rFonts w:ascii="標楷體" w:eastAsia="標楷體" w:hAnsi="標楷體" w:hint="eastAsia"/>
          <w:szCs w:val="24"/>
        </w:rPr>
        <w:t>(四)</w:t>
      </w:r>
      <w:r w:rsidR="00AA5567" w:rsidRPr="00AA5567">
        <w:rPr>
          <w:rFonts w:hint="eastAsia"/>
        </w:rPr>
        <w:t xml:space="preserve"> </w:t>
      </w:r>
      <w:r w:rsidR="00AA5567" w:rsidRPr="00AA5567">
        <w:rPr>
          <w:rFonts w:ascii="標楷體" w:eastAsia="標楷體" w:hAnsi="標楷體" w:hint="eastAsia"/>
          <w:szCs w:val="24"/>
        </w:rPr>
        <w:t>環保單位委託清運：為縣環境保護局及各鄉鎮公所委託資源回收列冊個體業者或公民營廢棄物清除機構回收之資源垃圾。</w:t>
      </w:r>
    </w:p>
    <w:p w:rsidR="00575654" w:rsidRDefault="002B6FEB">
      <w:pPr>
        <w:pStyle w:val="a5"/>
        <w:tabs>
          <w:tab w:val="left" w:pos="16080"/>
        </w:tabs>
        <w:spacing w:line="320" w:lineRule="exact"/>
        <w:ind w:leftChars="184" w:left="1110" w:hangingChars="217" w:hanging="521"/>
        <w:rPr>
          <w:rFonts w:ascii="標楷體" w:eastAsia="標楷體" w:hAnsi="標楷體" w:hint="eastAsia"/>
          <w:szCs w:val="24"/>
        </w:rPr>
      </w:pPr>
      <w:r w:rsidRPr="005A2E09">
        <w:rPr>
          <w:rFonts w:ascii="標楷體" w:eastAsia="標楷體" w:hAnsi="標楷體" w:hint="eastAsia"/>
          <w:szCs w:val="24"/>
        </w:rPr>
        <w:t>(五)</w:t>
      </w:r>
      <w:r w:rsidR="00575654" w:rsidRPr="00575654">
        <w:rPr>
          <w:rFonts w:hint="eastAsia"/>
        </w:rPr>
        <w:t xml:space="preserve"> </w:t>
      </w:r>
      <w:r w:rsidR="00575654" w:rsidRPr="00575654">
        <w:rPr>
          <w:rFonts w:ascii="標楷體" w:eastAsia="標楷體" w:hAnsi="標楷體" w:hint="eastAsia"/>
          <w:szCs w:val="24"/>
        </w:rPr>
        <w:t>公私處所自行或委託清運：為公私處所(社區、學校、機關團體)自行或委託公民營廢棄物清除機構回收之資源垃圾。</w:t>
      </w:r>
    </w:p>
    <w:p w:rsidR="002B6FEB" w:rsidRPr="005A2E09" w:rsidRDefault="002B6FEB">
      <w:pPr>
        <w:pStyle w:val="a5"/>
        <w:tabs>
          <w:tab w:val="left" w:pos="16080"/>
        </w:tabs>
        <w:spacing w:line="320" w:lineRule="exact"/>
        <w:ind w:leftChars="184" w:left="1110" w:hangingChars="217" w:hanging="521"/>
        <w:rPr>
          <w:rFonts w:ascii="標楷體" w:eastAsia="標楷體" w:hAnsi="標楷體"/>
          <w:szCs w:val="24"/>
        </w:rPr>
      </w:pPr>
      <w:r w:rsidRPr="005A2E09">
        <w:rPr>
          <w:rFonts w:ascii="標楷體" w:eastAsia="標楷體" w:hAnsi="標楷體" w:hint="eastAsia"/>
          <w:szCs w:val="24"/>
        </w:rPr>
        <w:t>(六)</w:t>
      </w:r>
      <w:proofErr w:type="gramStart"/>
      <w:r w:rsidRPr="005A2E09">
        <w:rPr>
          <w:rFonts w:ascii="標楷體" w:eastAsia="標楷體" w:hAnsi="標楷體" w:hint="eastAsia"/>
          <w:szCs w:val="24"/>
        </w:rPr>
        <w:t>鋁</w:t>
      </w:r>
      <w:r w:rsidR="008B1CBF" w:rsidRPr="008B1CBF">
        <w:rPr>
          <w:rFonts w:ascii="標楷體" w:eastAsia="標楷體" w:hAnsi="標楷體" w:hint="eastAsia"/>
          <w:szCs w:val="24"/>
        </w:rPr>
        <w:t>紙類</w:t>
      </w:r>
      <w:proofErr w:type="gramEnd"/>
      <w:r w:rsidR="008B1CBF" w:rsidRPr="008B1CBF">
        <w:rPr>
          <w:rFonts w:ascii="標楷體" w:eastAsia="標楷體" w:hAnsi="標楷體" w:hint="eastAsia"/>
          <w:szCs w:val="24"/>
        </w:rPr>
        <w:t>：</w:t>
      </w:r>
      <w:proofErr w:type="gramStart"/>
      <w:r w:rsidR="008B1CBF" w:rsidRPr="008B1CBF">
        <w:rPr>
          <w:rFonts w:ascii="標楷體" w:eastAsia="標楷體" w:hAnsi="標楷體" w:hint="eastAsia"/>
          <w:szCs w:val="24"/>
        </w:rPr>
        <w:t>指紙及</w:t>
      </w:r>
      <w:proofErr w:type="gramEnd"/>
      <w:r w:rsidR="008B1CBF" w:rsidRPr="008B1CBF">
        <w:rPr>
          <w:rFonts w:ascii="標楷體" w:eastAsia="標楷體" w:hAnsi="標楷體" w:hint="eastAsia"/>
          <w:szCs w:val="24"/>
        </w:rPr>
        <w:t>其製品(紙容器除外)，如電腦報表紙、報紙、宣傳單、牛皮紙袋、包裝紙、雜誌、書籍、影印紙、傳真紙等。</w:t>
      </w:r>
    </w:p>
    <w:p w:rsidR="002B6FEB" w:rsidRPr="005A2E09" w:rsidRDefault="002B6FEB">
      <w:pPr>
        <w:pStyle w:val="a5"/>
        <w:tabs>
          <w:tab w:val="left" w:pos="16080"/>
        </w:tabs>
        <w:spacing w:line="320" w:lineRule="exact"/>
        <w:ind w:leftChars="184" w:left="1110" w:hangingChars="217" w:hanging="521"/>
        <w:rPr>
          <w:rFonts w:ascii="標楷體" w:eastAsia="標楷體" w:hAnsi="標楷體"/>
          <w:szCs w:val="24"/>
        </w:rPr>
      </w:pPr>
      <w:r w:rsidRPr="005A2E09">
        <w:rPr>
          <w:rFonts w:ascii="標楷體" w:eastAsia="標楷體" w:hAnsi="標楷體" w:hint="eastAsia"/>
          <w:szCs w:val="24"/>
        </w:rPr>
        <w:t xml:space="preserve">(七) </w:t>
      </w:r>
      <w:r w:rsidR="003E5057" w:rsidRPr="003E5057">
        <w:rPr>
          <w:rFonts w:ascii="標楷體" w:eastAsia="標楷體" w:hAnsi="標楷體" w:hint="eastAsia"/>
          <w:szCs w:val="24"/>
        </w:rPr>
        <w:t>紙容器：指以紙為主要材質製成供裝填</w:t>
      </w:r>
      <w:proofErr w:type="gramStart"/>
      <w:r w:rsidR="003E5057" w:rsidRPr="003E5057">
        <w:rPr>
          <w:rFonts w:ascii="標楷體" w:eastAsia="標楷體" w:hAnsi="標楷體" w:hint="eastAsia"/>
          <w:szCs w:val="24"/>
        </w:rPr>
        <w:t>用之紙容器</w:t>
      </w:r>
      <w:proofErr w:type="gramEnd"/>
      <w:r w:rsidR="003E5057" w:rsidRPr="003E5057">
        <w:rPr>
          <w:rFonts w:ascii="標楷體" w:eastAsia="標楷體" w:hAnsi="標楷體" w:hint="eastAsia"/>
          <w:szCs w:val="24"/>
        </w:rPr>
        <w:t>，包括裝填食品及物品之紙盒包、一次性使用之免洗餐具(</w:t>
      </w:r>
      <w:proofErr w:type="gramStart"/>
      <w:r w:rsidR="003E5057" w:rsidRPr="003E5057">
        <w:rPr>
          <w:rFonts w:ascii="標楷體" w:eastAsia="標楷體" w:hAnsi="標楷體" w:hint="eastAsia"/>
          <w:szCs w:val="24"/>
        </w:rPr>
        <w:t>如杯</w:t>
      </w:r>
      <w:proofErr w:type="gramEnd"/>
      <w:r w:rsidR="003E5057" w:rsidRPr="003E5057">
        <w:rPr>
          <w:rFonts w:ascii="標楷體" w:eastAsia="標楷體" w:hAnsi="標楷體" w:hint="eastAsia"/>
          <w:szCs w:val="24"/>
        </w:rPr>
        <w:t>、碗、盤、托盤、碟、餐盒及餐盒內盛裝食物之內盤與上蓋)、氣密</w:t>
      </w:r>
      <w:proofErr w:type="gramStart"/>
      <w:r w:rsidR="003E5057" w:rsidRPr="003E5057">
        <w:rPr>
          <w:rFonts w:ascii="標楷體" w:eastAsia="標楷體" w:hAnsi="標楷體" w:hint="eastAsia"/>
          <w:szCs w:val="24"/>
        </w:rPr>
        <w:t>或液密包裝之紙</w:t>
      </w:r>
      <w:proofErr w:type="gramEnd"/>
      <w:r w:rsidR="003E5057" w:rsidRPr="003E5057">
        <w:rPr>
          <w:rFonts w:ascii="標楷體" w:eastAsia="標楷體" w:hAnsi="標楷體" w:hint="eastAsia"/>
          <w:szCs w:val="24"/>
        </w:rPr>
        <w:t>容器及其他紙製平板容器。另以</w:t>
      </w:r>
      <w:r w:rsidR="003E5057" w:rsidRPr="003E5057">
        <w:rPr>
          <w:rFonts w:ascii="標楷體" w:eastAsia="標楷體" w:hAnsi="標楷體" w:hint="eastAsia"/>
          <w:szCs w:val="24"/>
        </w:rPr>
        <w:lastRenderedPageBreak/>
        <w:t>植物纖維為主要材質之容器亦歸此類。</w:t>
      </w:r>
      <w:r w:rsidRPr="005A2E09">
        <w:rPr>
          <w:rFonts w:ascii="標楷體" w:eastAsia="標楷體" w:hAnsi="標楷體" w:hint="eastAsia"/>
          <w:szCs w:val="24"/>
        </w:rPr>
        <w:t>。</w:t>
      </w:r>
    </w:p>
    <w:p w:rsidR="00A74606" w:rsidRDefault="002B6FEB">
      <w:pPr>
        <w:pStyle w:val="a5"/>
        <w:tabs>
          <w:tab w:val="left" w:pos="16080"/>
        </w:tabs>
        <w:spacing w:line="320" w:lineRule="exact"/>
        <w:ind w:leftChars="184" w:left="1110" w:hangingChars="217" w:hanging="521"/>
        <w:rPr>
          <w:rFonts w:ascii="標楷體" w:eastAsia="標楷體" w:hAnsi="標楷體" w:hint="eastAsia"/>
          <w:szCs w:val="24"/>
        </w:rPr>
      </w:pPr>
      <w:r w:rsidRPr="005A2E09">
        <w:rPr>
          <w:rFonts w:ascii="標楷體" w:eastAsia="標楷體" w:hAnsi="標楷體" w:hint="eastAsia"/>
          <w:szCs w:val="24"/>
        </w:rPr>
        <w:t>(八)</w:t>
      </w:r>
      <w:r w:rsidR="00A74606" w:rsidRPr="00A74606">
        <w:rPr>
          <w:rFonts w:hint="eastAsia"/>
        </w:rPr>
        <w:t xml:space="preserve"> </w:t>
      </w:r>
      <w:r w:rsidR="00A74606" w:rsidRPr="00A74606">
        <w:rPr>
          <w:rFonts w:ascii="標楷體" w:eastAsia="標楷體" w:hAnsi="標楷體" w:hint="eastAsia"/>
          <w:szCs w:val="24"/>
        </w:rPr>
        <w:t>鋁箔包：指</w:t>
      </w:r>
      <w:proofErr w:type="gramStart"/>
      <w:r w:rsidR="00A74606" w:rsidRPr="00A74606">
        <w:rPr>
          <w:rFonts w:ascii="標楷體" w:eastAsia="標楷體" w:hAnsi="標楷體" w:hint="eastAsia"/>
          <w:szCs w:val="24"/>
        </w:rPr>
        <w:t>以含紙</w:t>
      </w:r>
      <w:proofErr w:type="gramEnd"/>
      <w:r w:rsidR="00A74606" w:rsidRPr="00A74606">
        <w:rPr>
          <w:rFonts w:ascii="標楷體" w:eastAsia="標楷體" w:hAnsi="標楷體" w:hint="eastAsia"/>
          <w:szCs w:val="24"/>
        </w:rPr>
        <w:t>、鋁箔及塑膠之複合材質製成供裝填用之鋁箔包容器。</w:t>
      </w:r>
    </w:p>
    <w:p w:rsidR="007E7133" w:rsidRDefault="002B6FEB">
      <w:pPr>
        <w:pStyle w:val="a5"/>
        <w:tabs>
          <w:tab w:val="left" w:pos="16080"/>
        </w:tabs>
        <w:spacing w:line="320" w:lineRule="exact"/>
        <w:ind w:leftChars="184" w:left="1110" w:hangingChars="217" w:hanging="521"/>
        <w:rPr>
          <w:rFonts w:ascii="標楷體" w:eastAsia="標楷體" w:hAnsi="標楷體" w:hint="eastAsia"/>
          <w:szCs w:val="24"/>
        </w:rPr>
      </w:pPr>
      <w:r w:rsidRPr="005A2E09">
        <w:rPr>
          <w:rFonts w:ascii="標楷體" w:eastAsia="標楷體" w:hAnsi="標楷體" w:hint="eastAsia"/>
          <w:szCs w:val="24"/>
        </w:rPr>
        <w:t>(九)</w:t>
      </w:r>
      <w:r w:rsidR="007E7133" w:rsidRPr="007E7133">
        <w:rPr>
          <w:rFonts w:hint="eastAsia"/>
        </w:rPr>
        <w:t xml:space="preserve"> </w:t>
      </w:r>
      <w:r w:rsidR="007E7133" w:rsidRPr="007E7133">
        <w:rPr>
          <w:rFonts w:ascii="標楷體" w:eastAsia="標楷體" w:hAnsi="標楷體" w:hint="eastAsia"/>
          <w:szCs w:val="24"/>
        </w:rPr>
        <w:t>鋁容器：指以鋁為主要材質製成供裝填用之鋁容器，如鋁罐。</w:t>
      </w:r>
    </w:p>
    <w:p w:rsidR="002B6FEB" w:rsidRPr="005A2E09" w:rsidRDefault="002B6FEB">
      <w:pPr>
        <w:pStyle w:val="a5"/>
        <w:tabs>
          <w:tab w:val="left" w:pos="16080"/>
        </w:tabs>
        <w:spacing w:line="320" w:lineRule="exact"/>
        <w:ind w:leftChars="184" w:left="1110" w:hangingChars="217" w:hanging="521"/>
        <w:rPr>
          <w:rFonts w:ascii="標楷體" w:eastAsia="標楷體" w:hAnsi="標楷體"/>
          <w:szCs w:val="24"/>
        </w:rPr>
      </w:pPr>
      <w:r w:rsidRPr="005A2E09">
        <w:rPr>
          <w:rFonts w:ascii="標楷體" w:eastAsia="標楷體" w:hAnsi="標楷體" w:hint="eastAsia"/>
          <w:szCs w:val="24"/>
        </w:rPr>
        <w:t>(十)</w:t>
      </w:r>
      <w:r w:rsidR="0000562C" w:rsidRPr="0000562C">
        <w:rPr>
          <w:rFonts w:hint="eastAsia"/>
        </w:rPr>
        <w:t xml:space="preserve"> </w:t>
      </w:r>
      <w:r w:rsidR="0000562C" w:rsidRPr="0000562C">
        <w:rPr>
          <w:rFonts w:ascii="標楷體" w:eastAsia="標楷體" w:hAnsi="標楷體" w:hint="eastAsia"/>
          <w:szCs w:val="24"/>
        </w:rPr>
        <w:t>鐵容器：指以鐵為主要材質製成供裝填用之鐵容器，</w:t>
      </w:r>
      <w:proofErr w:type="gramStart"/>
      <w:r w:rsidR="0000562C" w:rsidRPr="0000562C">
        <w:rPr>
          <w:rFonts w:ascii="標楷體" w:eastAsia="標楷體" w:hAnsi="標楷體" w:hint="eastAsia"/>
          <w:szCs w:val="24"/>
        </w:rPr>
        <w:t>如鐵罐</w:t>
      </w:r>
      <w:proofErr w:type="gramEnd"/>
      <w:r w:rsidR="0000562C" w:rsidRPr="0000562C">
        <w:rPr>
          <w:rFonts w:ascii="標楷體" w:eastAsia="標楷體" w:hAnsi="標楷體" w:hint="eastAsia"/>
          <w:szCs w:val="24"/>
        </w:rPr>
        <w:t>。</w:t>
      </w:r>
    </w:p>
    <w:p w:rsidR="002B6FEB" w:rsidRPr="005A2E09" w:rsidRDefault="002B6FEB">
      <w:pPr>
        <w:pStyle w:val="a5"/>
        <w:tabs>
          <w:tab w:val="left" w:pos="16080"/>
        </w:tabs>
        <w:spacing w:line="320" w:lineRule="exact"/>
        <w:ind w:leftChars="184" w:left="1110" w:hangingChars="217" w:hanging="521"/>
        <w:rPr>
          <w:rFonts w:ascii="標楷體" w:eastAsia="標楷體" w:hAnsi="標楷體"/>
          <w:szCs w:val="24"/>
        </w:rPr>
      </w:pPr>
      <w:r w:rsidRPr="005A2E09">
        <w:rPr>
          <w:rFonts w:ascii="標楷體" w:eastAsia="標楷體" w:hAnsi="標楷體" w:hint="eastAsia"/>
          <w:szCs w:val="24"/>
        </w:rPr>
        <w:t>(十一)</w:t>
      </w:r>
      <w:r w:rsidR="00EB7D57" w:rsidRPr="00EB7D57">
        <w:rPr>
          <w:rFonts w:hint="eastAsia"/>
        </w:rPr>
        <w:t xml:space="preserve"> </w:t>
      </w:r>
      <w:r w:rsidR="00EB7D57" w:rsidRPr="00EB7D57">
        <w:rPr>
          <w:rFonts w:ascii="標楷體" w:eastAsia="標楷體" w:hAnsi="標楷體" w:hint="eastAsia"/>
          <w:szCs w:val="24"/>
        </w:rPr>
        <w:t>其他金屬製品：指公告應回收廢棄物鋁容器及鐵容器項目以外之其他金屬製品，如一般鐵、鋁、銅...等金屬製品。</w:t>
      </w:r>
    </w:p>
    <w:p w:rsidR="002B6FEB" w:rsidRPr="005A2E09" w:rsidRDefault="002B6FEB" w:rsidP="001E49C2">
      <w:pPr>
        <w:pStyle w:val="a5"/>
        <w:tabs>
          <w:tab w:val="left" w:pos="16080"/>
        </w:tabs>
        <w:spacing w:line="320" w:lineRule="exact"/>
        <w:ind w:leftChars="184" w:left="1470" w:hangingChars="367" w:hanging="881"/>
        <w:rPr>
          <w:rFonts w:ascii="標楷體" w:eastAsia="標楷體" w:hAnsi="標楷體"/>
          <w:szCs w:val="24"/>
        </w:rPr>
      </w:pPr>
      <w:r w:rsidRPr="005A2E09">
        <w:rPr>
          <w:rFonts w:ascii="標楷體" w:eastAsia="標楷體" w:hAnsi="標楷體" w:hint="eastAsia"/>
          <w:szCs w:val="24"/>
        </w:rPr>
        <w:t>(十二)</w:t>
      </w:r>
      <w:r w:rsidR="00584901" w:rsidRPr="00584901">
        <w:rPr>
          <w:rFonts w:hint="eastAsia"/>
        </w:rPr>
        <w:t xml:space="preserve"> </w:t>
      </w:r>
      <w:r w:rsidR="00584901" w:rsidRPr="00584901">
        <w:rPr>
          <w:rFonts w:ascii="標楷體" w:eastAsia="標楷體" w:hAnsi="標楷體" w:hint="eastAsia"/>
          <w:szCs w:val="24"/>
        </w:rPr>
        <w:t>塑膠容器：指以</w:t>
      </w:r>
      <w:proofErr w:type="gramStart"/>
      <w:r w:rsidR="00584901" w:rsidRPr="00584901">
        <w:rPr>
          <w:rFonts w:ascii="標楷體" w:eastAsia="標楷體" w:hAnsi="標楷體" w:hint="eastAsia"/>
          <w:szCs w:val="24"/>
        </w:rPr>
        <w:t>ＰＥＴ</w:t>
      </w:r>
      <w:proofErr w:type="gramEnd"/>
      <w:r w:rsidR="00584901" w:rsidRPr="00584901">
        <w:rPr>
          <w:rFonts w:ascii="標楷體" w:eastAsia="標楷體" w:hAnsi="標楷體" w:hint="eastAsia"/>
          <w:szCs w:val="24"/>
        </w:rPr>
        <w:t>(俗稱寶特瓶)、發泡</w:t>
      </w:r>
      <w:proofErr w:type="gramStart"/>
      <w:r w:rsidR="00584901" w:rsidRPr="00584901">
        <w:rPr>
          <w:rFonts w:ascii="標楷體" w:eastAsia="標楷體" w:hAnsi="標楷體" w:hint="eastAsia"/>
          <w:szCs w:val="24"/>
        </w:rPr>
        <w:t>ＰＳ</w:t>
      </w:r>
      <w:proofErr w:type="gramEnd"/>
      <w:r w:rsidR="00584901" w:rsidRPr="00584901">
        <w:rPr>
          <w:rFonts w:ascii="標楷體" w:eastAsia="標楷體" w:hAnsi="標楷體" w:hint="eastAsia"/>
          <w:szCs w:val="24"/>
        </w:rPr>
        <w:t>(俗稱保麗龍)、未發泡</w:t>
      </w:r>
      <w:proofErr w:type="gramStart"/>
      <w:r w:rsidR="00584901" w:rsidRPr="00584901">
        <w:rPr>
          <w:rFonts w:ascii="標楷體" w:eastAsia="標楷體" w:hAnsi="標楷體" w:hint="eastAsia"/>
          <w:szCs w:val="24"/>
        </w:rPr>
        <w:t>Ｐ</w:t>
      </w:r>
      <w:proofErr w:type="gramEnd"/>
      <w:r w:rsidR="001E49C2">
        <w:rPr>
          <w:rFonts w:ascii="標楷體" w:eastAsia="標楷體" w:hAnsi="標楷體" w:hint="eastAsia"/>
          <w:szCs w:val="24"/>
        </w:rPr>
        <w:t xml:space="preserve">　</w:t>
      </w:r>
      <w:proofErr w:type="gramStart"/>
      <w:r w:rsidR="00584901" w:rsidRPr="00584901">
        <w:rPr>
          <w:rFonts w:ascii="標楷體" w:eastAsia="標楷體" w:hAnsi="標楷體" w:hint="eastAsia"/>
          <w:szCs w:val="24"/>
        </w:rPr>
        <w:t>Ｓ</w:t>
      </w:r>
      <w:proofErr w:type="gramEnd"/>
      <w:r w:rsidR="00584901" w:rsidRPr="00584901">
        <w:rPr>
          <w:rFonts w:ascii="標楷體" w:eastAsia="標楷體" w:hAnsi="標楷體" w:hint="eastAsia"/>
          <w:szCs w:val="24"/>
        </w:rPr>
        <w:t>、</w:t>
      </w:r>
      <w:proofErr w:type="gramStart"/>
      <w:r w:rsidR="00584901" w:rsidRPr="00584901">
        <w:rPr>
          <w:rFonts w:ascii="標楷體" w:eastAsia="標楷體" w:hAnsi="標楷體" w:hint="eastAsia"/>
          <w:szCs w:val="24"/>
        </w:rPr>
        <w:t>ＰＶＣ</w:t>
      </w:r>
      <w:proofErr w:type="gramEnd"/>
      <w:r w:rsidR="00584901" w:rsidRPr="00584901">
        <w:rPr>
          <w:rFonts w:ascii="標楷體" w:eastAsia="標楷體" w:hAnsi="標楷體" w:hint="eastAsia"/>
          <w:szCs w:val="24"/>
        </w:rPr>
        <w:t>、</w:t>
      </w:r>
      <w:proofErr w:type="gramStart"/>
      <w:r w:rsidR="00584901" w:rsidRPr="00584901">
        <w:rPr>
          <w:rFonts w:ascii="標楷體" w:eastAsia="標楷體" w:hAnsi="標楷體" w:hint="eastAsia"/>
          <w:szCs w:val="24"/>
        </w:rPr>
        <w:t>ＰＥ</w:t>
      </w:r>
      <w:proofErr w:type="gramEnd"/>
      <w:r w:rsidR="00584901" w:rsidRPr="00584901">
        <w:rPr>
          <w:rFonts w:ascii="標楷體" w:eastAsia="標楷體" w:hAnsi="標楷體" w:hint="eastAsia"/>
          <w:szCs w:val="24"/>
        </w:rPr>
        <w:t>、</w:t>
      </w:r>
      <w:proofErr w:type="gramStart"/>
      <w:r w:rsidR="00584901" w:rsidRPr="00584901">
        <w:rPr>
          <w:rFonts w:ascii="標楷體" w:eastAsia="標楷體" w:hAnsi="標楷體" w:hint="eastAsia"/>
          <w:szCs w:val="24"/>
        </w:rPr>
        <w:t>ＰＰ</w:t>
      </w:r>
      <w:proofErr w:type="gramEnd"/>
      <w:r w:rsidR="00584901" w:rsidRPr="00584901">
        <w:rPr>
          <w:rFonts w:ascii="標楷體" w:eastAsia="標楷體" w:hAnsi="標楷體" w:hint="eastAsia"/>
          <w:szCs w:val="24"/>
        </w:rPr>
        <w:t>、</w:t>
      </w:r>
      <w:proofErr w:type="gramStart"/>
      <w:r w:rsidR="00584901" w:rsidRPr="00584901">
        <w:rPr>
          <w:rFonts w:ascii="標楷體" w:eastAsia="標楷體" w:hAnsi="標楷體" w:hint="eastAsia"/>
          <w:szCs w:val="24"/>
        </w:rPr>
        <w:t>ＰＣ</w:t>
      </w:r>
      <w:proofErr w:type="gramEnd"/>
      <w:r w:rsidR="00584901" w:rsidRPr="00584901">
        <w:rPr>
          <w:rFonts w:ascii="標楷體" w:eastAsia="標楷體" w:hAnsi="標楷體" w:hint="eastAsia"/>
          <w:szCs w:val="24"/>
        </w:rPr>
        <w:t>、</w:t>
      </w:r>
      <w:proofErr w:type="gramStart"/>
      <w:r w:rsidR="00584901" w:rsidRPr="00584901">
        <w:rPr>
          <w:rFonts w:ascii="標楷體" w:eastAsia="標楷體" w:hAnsi="標楷體" w:hint="eastAsia"/>
          <w:szCs w:val="24"/>
        </w:rPr>
        <w:t>ＰＬＡ</w:t>
      </w:r>
      <w:proofErr w:type="gramEnd"/>
      <w:r w:rsidR="00584901" w:rsidRPr="00584901">
        <w:rPr>
          <w:rFonts w:ascii="標楷體" w:eastAsia="標楷體" w:hAnsi="標楷體" w:hint="eastAsia"/>
          <w:szCs w:val="24"/>
        </w:rPr>
        <w:t>(俗稱生質塑膠)、美耐</w:t>
      </w:r>
      <w:proofErr w:type="gramStart"/>
      <w:r w:rsidR="00584901" w:rsidRPr="00584901">
        <w:rPr>
          <w:rFonts w:ascii="標楷體" w:eastAsia="標楷體" w:hAnsi="標楷體" w:hint="eastAsia"/>
          <w:szCs w:val="24"/>
        </w:rPr>
        <w:t>皿</w:t>
      </w:r>
      <w:proofErr w:type="gramEnd"/>
      <w:r w:rsidR="00584901" w:rsidRPr="00584901">
        <w:rPr>
          <w:rFonts w:ascii="標楷體" w:eastAsia="標楷體" w:hAnsi="標楷體" w:hint="eastAsia"/>
          <w:szCs w:val="24"/>
        </w:rPr>
        <w:t xml:space="preserve">、壓克力等材質 (即塑膠材質回收辨識碼 </w:t>
      </w:r>
      <w:r w:rsidR="006B4175">
        <w:rPr>
          <w:noProof/>
        </w:rPr>
        <w:drawing>
          <wp:inline distT="0" distB="0" distL="0" distR="0">
            <wp:extent cx="184523" cy="190831"/>
            <wp:effectExtent l="0" t="0" r="6350" b="0"/>
            <wp:docPr id="1"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89" cy="192760"/>
                    </a:xfrm>
                    <a:prstGeom prst="rect">
                      <a:avLst/>
                    </a:prstGeom>
                    <a:noFill/>
                    <a:ln>
                      <a:noFill/>
                    </a:ln>
                  </pic:spPr>
                </pic:pic>
              </a:graphicData>
            </a:graphic>
          </wp:inline>
        </w:drawing>
      </w:r>
      <w:r w:rsidR="006B4175">
        <w:rPr>
          <w:rFonts w:ascii="標楷體" w:eastAsia="標楷體" w:hAnsi="標楷體" w:hint="eastAsia"/>
          <w:szCs w:val="24"/>
        </w:rPr>
        <w:t xml:space="preserve"> </w:t>
      </w:r>
      <w:r w:rsidR="00584901" w:rsidRPr="00584901">
        <w:rPr>
          <w:rFonts w:ascii="標楷體" w:eastAsia="標楷體" w:hAnsi="標楷體" w:hint="eastAsia"/>
          <w:szCs w:val="24"/>
        </w:rPr>
        <w:t>至</w:t>
      </w:r>
      <w:r w:rsidR="006B4175">
        <w:rPr>
          <w:noProof/>
        </w:rPr>
        <w:drawing>
          <wp:inline distT="0" distB="0" distL="0" distR="0">
            <wp:extent cx="174929" cy="174929"/>
            <wp:effectExtent l="0" t="0" r="0" b="0"/>
            <wp:docPr id="2" name="圖片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866" cy="174866"/>
                    </a:xfrm>
                    <a:prstGeom prst="rect">
                      <a:avLst/>
                    </a:prstGeom>
                    <a:noFill/>
                    <a:ln>
                      <a:noFill/>
                    </a:ln>
                  </pic:spPr>
                </pic:pic>
              </a:graphicData>
            </a:graphic>
          </wp:inline>
        </w:drawing>
      </w:r>
      <w:r w:rsidR="00584901" w:rsidRPr="00584901">
        <w:rPr>
          <w:rFonts w:ascii="標楷體" w:eastAsia="標楷體" w:hAnsi="標楷體" w:hint="eastAsia"/>
          <w:szCs w:val="24"/>
        </w:rPr>
        <w:t>)製成供裝填用之塑膠容器，如牛奶瓶、養樂多瓶等飲料瓶、手搖飲料杯、家庭用食用品油瓶、清潔劑瓶(指液體清潔劑、洗髮精、潤髮乳、沐浴乳等)、一次性使用之免洗餐具(如杯、碗、盤、托盤、碟、餐盒及餐盒內盛裝食物之內盤與上蓋)與一般環境用藥等塑膠容器等。</w:t>
      </w:r>
    </w:p>
    <w:p w:rsidR="002B6FEB" w:rsidRPr="005A2E09" w:rsidRDefault="002B6FEB" w:rsidP="001E49C2">
      <w:pPr>
        <w:pStyle w:val="a5"/>
        <w:tabs>
          <w:tab w:val="left" w:pos="16080"/>
        </w:tabs>
        <w:spacing w:line="320" w:lineRule="exact"/>
        <w:ind w:leftChars="184" w:left="1470" w:hangingChars="367" w:hanging="881"/>
        <w:rPr>
          <w:rFonts w:ascii="標楷體" w:eastAsia="標楷體" w:hAnsi="標楷體"/>
          <w:szCs w:val="24"/>
        </w:rPr>
      </w:pPr>
      <w:r w:rsidRPr="005A2E09">
        <w:rPr>
          <w:rFonts w:ascii="標楷體" w:eastAsia="標楷體" w:hAnsi="標楷體" w:hint="eastAsia"/>
          <w:szCs w:val="24"/>
        </w:rPr>
        <w:t>(十三)</w:t>
      </w:r>
      <w:r w:rsidR="006B4175" w:rsidRPr="006B4175">
        <w:rPr>
          <w:rFonts w:hint="eastAsia"/>
        </w:rPr>
        <w:t xml:space="preserve"> </w:t>
      </w:r>
      <w:proofErr w:type="gramStart"/>
      <w:r w:rsidR="006B4175" w:rsidRPr="006B4175">
        <w:rPr>
          <w:rFonts w:ascii="標楷體" w:eastAsia="標楷體" w:hAnsi="標楷體" w:hint="eastAsia"/>
          <w:szCs w:val="24"/>
        </w:rPr>
        <w:t>包裝用發泡</w:t>
      </w:r>
      <w:proofErr w:type="gramEnd"/>
      <w:r w:rsidR="006B4175" w:rsidRPr="006B4175">
        <w:rPr>
          <w:rFonts w:ascii="標楷體" w:eastAsia="標楷體" w:hAnsi="標楷體" w:hint="eastAsia"/>
          <w:szCs w:val="24"/>
        </w:rPr>
        <w:t>塑膠：指以發泡聚苯乙烯（EPS）、發泡聚乙烯（EPE）、發泡聚丙烯（EPP）、發泡乙烯聚合物（EPO）等材質作為</w:t>
      </w:r>
      <w:proofErr w:type="gramStart"/>
      <w:r w:rsidR="006B4175" w:rsidRPr="006B4175">
        <w:rPr>
          <w:rFonts w:ascii="標楷體" w:eastAsia="標楷體" w:hAnsi="標楷體" w:hint="eastAsia"/>
          <w:szCs w:val="24"/>
        </w:rPr>
        <w:t>緩衝材</w:t>
      </w:r>
      <w:proofErr w:type="gramEnd"/>
      <w:r w:rsidR="006B4175" w:rsidRPr="006B4175">
        <w:rPr>
          <w:rFonts w:ascii="標楷體" w:eastAsia="標楷體" w:hAnsi="標楷體" w:hint="eastAsia"/>
          <w:szCs w:val="24"/>
        </w:rPr>
        <w:t>、保溫</w:t>
      </w:r>
      <w:proofErr w:type="gramStart"/>
      <w:r w:rsidR="006B4175" w:rsidRPr="006B4175">
        <w:rPr>
          <w:rFonts w:ascii="標楷體" w:eastAsia="標楷體" w:hAnsi="標楷體" w:hint="eastAsia"/>
          <w:szCs w:val="24"/>
        </w:rPr>
        <w:t>絕熱材之</w:t>
      </w:r>
      <w:proofErr w:type="gramEnd"/>
      <w:r w:rsidR="006B4175" w:rsidRPr="006B4175">
        <w:rPr>
          <w:rFonts w:ascii="標楷體" w:eastAsia="標楷體" w:hAnsi="標楷體" w:hint="eastAsia"/>
          <w:szCs w:val="24"/>
        </w:rPr>
        <w:t>包裝(即保麗龍)。</w:t>
      </w:r>
    </w:p>
    <w:p w:rsidR="002B6FEB" w:rsidRPr="005A2E09" w:rsidRDefault="002B6FEB" w:rsidP="001E49C2">
      <w:pPr>
        <w:pStyle w:val="a5"/>
        <w:tabs>
          <w:tab w:val="left" w:pos="16080"/>
        </w:tabs>
        <w:spacing w:line="320" w:lineRule="exact"/>
        <w:ind w:leftChars="184" w:left="1470" w:hangingChars="367" w:hanging="881"/>
        <w:rPr>
          <w:rFonts w:ascii="標楷體" w:eastAsia="標楷體" w:hAnsi="標楷體"/>
          <w:szCs w:val="24"/>
        </w:rPr>
      </w:pPr>
      <w:r w:rsidRPr="005A2E09">
        <w:rPr>
          <w:rFonts w:ascii="標楷體" w:eastAsia="標楷體" w:hAnsi="標楷體" w:hint="eastAsia"/>
          <w:szCs w:val="24"/>
        </w:rPr>
        <w:t>(十四)</w:t>
      </w:r>
      <w:r w:rsidR="005D765B" w:rsidRPr="005D765B">
        <w:rPr>
          <w:rFonts w:hint="eastAsia"/>
        </w:rPr>
        <w:t xml:space="preserve"> </w:t>
      </w:r>
      <w:r w:rsidR="005D765B" w:rsidRPr="005D765B">
        <w:rPr>
          <w:rFonts w:ascii="標楷體" w:eastAsia="標楷體" w:hAnsi="標楷體" w:hint="eastAsia"/>
          <w:szCs w:val="24"/>
        </w:rPr>
        <w:t>其他塑膠製品：指公告應回收廢棄物塑膠容器項目及</w:t>
      </w:r>
      <w:proofErr w:type="gramStart"/>
      <w:r w:rsidR="005D765B" w:rsidRPr="005D765B">
        <w:rPr>
          <w:rFonts w:ascii="標楷體" w:eastAsia="標楷體" w:hAnsi="標楷體" w:hint="eastAsia"/>
          <w:szCs w:val="24"/>
        </w:rPr>
        <w:t>包裝用發泡</w:t>
      </w:r>
      <w:proofErr w:type="gramEnd"/>
      <w:r w:rsidR="005D765B" w:rsidRPr="005D765B">
        <w:rPr>
          <w:rFonts w:ascii="標楷體" w:eastAsia="標楷體" w:hAnsi="標楷體" w:hint="eastAsia"/>
          <w:szCs w:val="24"/>
        </w:rPr>
        <w:t>塑膠</w:t>
      </w:r>
      <w:proofErr w:type="gramStart"/>
      <w:r w:rsidR="005D765B" w:rsidRPr="005D765B">
        <w:rPr>
          <w:rFonts w:ascii="標楷體" w:eastAsia="標楷體" w:hAnsi="標楷體" w:hint="eastAsia"/>
          <w:szCs w:val="24"/>
        </w:rPr>
        <w:t>以外</w:t>
      </w:r>
      <w:r w:rsidR="005D765B">
        <w:rPr>
          <w:rFonts w:ascii="標楷體" w:eastAsia="標楷體" w:hAnsi="標楷體" w:hint="eastAsia"/>
          <w:szCs w:val="24"/>
        </w:rPr>
        <w:t xml:space="preserve">　</w:t>
      </w:r>
      <w:proofErr w:type="gramEnd"/>
      <w:r w:rsidR="005D765B" w:rsidRPr="005D765B">
        <w:rPr>
          <w:rFonts w:ascii="標楷體" w:eastAsia="標楷體" w:hAnsi="標楷體" w:hint="eastAsia"/>
          <w:szCs w:val="24"/>
        </w:rPr>
        <w:t>之其他塑膠製品，如水管、水桶、保鮮盒、臉盆、</w:t>
      </w:r>
      <w:r w:rsidR="00892EEB" w:rsidRPr="00892EEB">
        <w:rPr>
          <w:rFonts w:ascii="標楷體" w:eastAsia="標楷體" w:hAnsi="標楷體" w:hint="eastAsia"/>
          <w:szCs w:val="24"/>
        </w:rPr>
        <w:t>雨衣雨鞋等，但不含塑膠袋。</w:t>
      </w:r>
    </w:p>
    <w:p w:rsidR="002B6FEB" w:rsidRPr="005A2E09" w:rsidRDefault="002B6FEB" w:rsidP="002B6FEB">
      <w:pPr>
        <w:pStyle w:val="a5"/>
        <w:tabs>
          <w:tab w:val="left" w:pos="16080"/>
        </w:tabs>
        <w:spacing w:line="320" w:lineRule="exact"/>
        <w:ind w:leftChars="184" w:left="1110" w:hangingChars="217" w:hanging="521"/>
        <w:rPr>
          <w:rFonts w:ascii="標楷體" w:eastAsia="標楷體" w:hAnsi="標楷體"/>
          <w:szCs w:val="24"/>
        </w:rPr>
      </w:pPr>
      <w:r w:rsidRPr="005A2E09">
        <w:rPr>
          <w:rFonts w:ascii="標楷體" w:eastAsia="標楷體" w:hAnsi="標楷體" w:hint="eastAsia"/>
          <w:szCs w:val="24"/>
        </w:rPr>
        <w:t>(十五)</w:t>
      </w:r>
      <w:r w:rsidR="0041507F" w:rsidRPr="0041507F">
        <w:rPr>
          <w:rFonts w:hint="eastAsia"/>
        </w:rPr>
        <w:t xml:space="preserve"> </w:t>
      </w:r>
      <w:r w:rsidR="0041507F" w:rsidRPr="0041507F">
        <w:rPr>
          <w:rFonts w:ascii="標楷體" w:eastAsia="標楷體" w:hAnsi="標楷體" w:hint="eastAsia"/>
          <w:szCs w:val="24"/>
        </w:rPr>
        <w:t>輪胎：指使用於機動車輛及腳踏車之橡膠材質外胎，但不包括</w:t>
      </w:r>
      <w:proofErr w:type="gramStart"/>
      <w:r w:rsidR="0041507F" w:rsidRPr="0041507F">
        <w:rPr>
          <w:rFonts w:ascii="標楷體" w:eastAsia="標楷體" w:hAnsi="標楷體" w:hint="eastAsia"/>
          <w:szCs w:val="24"/>
        </w:rPr>
        <w:t>實心胎</w:t>
      </w:r>
      <w:proofErr w:type="gramEnd"/>
      <w:r w:rsidR="0041507F" w:rsidRPr="0041507F">
        <w:rPr>
          <w:rFonts w:ascii="標楷體" w:eastAsia="標楷體" w:hAnsi="標楷體" w:hint="eastAsia"/>
          <w:szCs w:val="24"/>
        </w:rPr>
        <w:t>。</w:t>
      </w:r>
    </w:p>
    <w:p w:rsidR="002B6FEB" w:rsidRPr="005A2E09" w:rsidRDefault="002B6FEB" w:rsidP="002B6FEB">
      <w:pPr>
        <w:pStyle w:val="a5"/>
        <w:tabs>
          <w:tab w:val="left" w:pos="16080"/>
        </w:tabs>
        <w:spacing w:line="320" w:lineRule="exact"/>
        <w:ind w:leftChars="184" w:left="1110" w:hangingChars="217" w:hanging="521"/>
        <w:rPr>
          <w:rFonts w:ascii="標楷體" w:eastAsia="標楷體" w:hAnsi="標楷體"/>
          <w:szCs w:val="24"/>
        </w:rPr>
      </w:pPr>
      <w:r w:rsidRPr="005A2E09">
        <w:rPr>
          <w:rFonts w:ascii="標楷體" w:eastAsia="標楷體" w:hAnsi="標楷體" w:hint="eastAsia"/>
          <w:szCs w:val="24"/>
        </w:rPr>
        <w:t>(十六)</w:t>
      </w:r>
      <w:r w:rsidR="0041507F" w:rsidRPr="0041507F">
        <w:rPr>
          <w:rFonts w:hint="eastAsia"/>
        </w:rPr>
        <w:t xml:space="preserve"> </w:t>
      </w:r>
      <w:r w:rsidR="0041507F" w:rsidRPr="0041507F">
        <w:rPr>
          <w:rFonts w:ascii="標楷體" w:eastAsia="標楷體" w:hAnsi="標楷體" w:hint="eastAsia"/>
          <w:szCs w:val="24"/>
        </w:rPr>
        <w:t>玻璃容器：指以玻璃材質製成供裝填用之容器，如玻璃瓶罐等。</w:t>
      </w:r>
    </w:p>
    <w:p w:rsidR="001E49C2" w:rsidRDefault="002B6FEB" w:rsidP="001E49C2">
      <w:pPr>
        <w:pStyle w:val="a5"/>
        <w:tabs>
          <w:tab w:val="left" w:pos="16080"/>
        </w:tabs>
        <w:spacing w:line="320" w:lineRule="exact"/>
        <w:ind w:leftChars="184" w:left="1350" w:hangingChars="317" w:hanging="761"/>
        <w:rPr>
          <w:rFonts w:ascii="標楷體" w:eastAsia="標楷體" w:hAnsi="標楷體" w:hint="eastAsia"/>
          <w:szCs w:val="24"/>
        </w:rPr>
      </w:pPr>
      <w:r w:rsidRPr="005A2E09">
        <w:rPr>
          <w:rFonts w:ascii="標楷體" w:eastAsia="標楷體" w:hAnsi="標楷體" w:hint="eastAsia"/>
          <w:szCs w:val="24"/>
        </w:rPr>
        <w:t>(十七)</w:t>
      </w:r>
      <w:r w:rsidR="001E49C2" w:rsidRPr="001E49C2">
        <w:rPr>
          <w:rFonts w:ascii="標楷體" w:eastAsia="標楷體" w:hAnsi="標楷體" w:hint="eastAsia"/>
          <w:szCs w:val="24"/>
        </w:rPr>
        <w:t>其他玻璃製品：指公告應回收廢棄物玻璃容器項目以外之其他玻璃製品，如玻璃杯、玻璃盤、玻璃碗、玻璃燭臺及碎玻璃等，但不含強化玻璃、隔熱玻璃及裝潢修繕產生的大型玻璃。</w:t>
      </w:r>
    </w:p>
    <w:p w:rsidR="00344E17" w:rsidRPr="005A2E09" w:rsidRDefault="00344E17" w:rsidP="007423BB">
      <w:pPr>
        <w:pStyle w:val="a5"/>
        <w:tabs>
          <w:tab w:val="left" w:pos="16080"/>
        </w:tabs>
        <w:spacing w:line="320" w:lineRule="exact"/>
        <w:ind w:leftChars="184" w:left="1470" w:hangingChars="367" w:hanging="881"/>
        <w:rPr>
          <w:rFonts w:ascii="標楷體" w:eastAsia="標楷體" w:hAnsi="標楷體"/>
          <w:szCs w:val="24"/>
        </w:rPr>
      </w:pPr>
      <w:r w:rsidRPr="005A2E09">
        <w:rPr>
          <w:rFonts w:ascii="標楷體" w:eastAsia="標楷體" w:hAnsi="標楷體" w:hint="eastAsia"/>
          <w:szCs w:val="24"/>
        </w:rPr>
        <w:t>(十八)</w:t>
      </w:r>
      <w:r w:rsidR="001E49C2" w:rsidRPr="001E49C2">
        <w:rPr>
          <w:rFonts w:hint="eastAsia"/>
        </w:rPr>
        <w:t xml:space="preserve"> </w:t>
      </w:r>
      <w:r w:rsidR="001E49C2" w:rsidRPr="001E49C2">
        <w:rPr>
          <w:rFonts w:ascii="標楷體" w:eastAsia="標楷體" w:hAnsi="標楷體" w:hint="eastAsia"/>
          <w:szCs w:val="24"/>
        </w:rPr>
        <w:t>照明光源：指公告應回收之白熾燈泡(</w:t>
      </w:r>
      <w:proofErr w:type="gramStart"/>
      <w:r w:rsidR="001E49C2" w:rsidRPr="001E49C2">
        <w:rPr>
          <w:rFonts w:ascii="標楷體" w:eastAsia="標楷體" w:hAnsi="標楷體" w:hint="eastAsia"/>
          <w:szCs w:val="24"/>
        </w:rPr>
        <w:t>燈帽直徑</w:t>
      </w:r>
      <w:proofErr w:type="gramEnd"/>
      <w:r w:rsidR="001E49C2" w:rsidRPr="001E49C2">
        <w:rPr>
          <w:rFonts w:ascii="標楷體" w:eastAsia="標楷體" w:hAnsi="標楷體" w:hint="eastAsia"/>
          <w:szCs w:val="24"/>
        </w:rPr>
        <w:t>2.6公分以上)、含汞照明光源及發光二極體(即LED)照明光源。含汞照明光源</w:t>
      </w:r>
      <w:proofErr w:type="gramStart"/>
      <w:r w:rsidR="001E49C2" w:rsidRPr="001E49C2">
        <w:rPr>
          <w:rFonts w:ascii="標楷體" w:eastAsia="標楷體" w:hAnsi="標楷體" w:hint="eastAsia"/>
          <w:szCs w:val="24"/>
        </w:rPr>
        <w:t>包括直管日光燈</w:t>
      </w:r>
      <w:proofErr w:type="gramEnd"/>
      <w:r w:rsidR="001E49C2" w:rsidRPr="001E49C2">
        <w:rPr>
          <w:rFonts w:ascii="標楷體" w:eastAsia="標楷體" w:hAnsi="標楷體" w:hint="eastAsia"/>
          <w:szCs w:val="24"/>
        </w:rPr>
        <w:t>、</w:t>
      </w:r>
      <w:proofErr w:type="gramStart"/>
      <w:r w:rsidR="001E49C2" w:rsidRPr="001E49C2">
        <w:rPr>
          <w:rFonts w:ascii="標楷體" w:eastAsia="標楷體" w:hAnsi="標楷體" w:hint="eastAsia"/>
          <w:szCs w:val="24"/>
        </w:rPr>
        <w:t>環管日光燈</w:t>
      </w:r>
      <w:proofErr w:type="gramEnd"/>
      <w:r w:rsidR="001E49C2" w:rsidRPr="001E49C2">
        <w:rPr>
          <w:rFonts w:ascii="標楷體" w:eastAsia="標楷體" w:hAnsi="標楷體" w:hint="eastAsia"/>
          <w:szCs w:val="24"/>
        </w:rPr>
        <w:t>、安定器內藏式螢光燈泡、緊密型螢光燈管、高強度照明燈管、冷陰極燈、感應式螢光燈及其他</w:t>
      </w:r>
      <w:proofErr w:type="gramStart"/>
      <w:r w:rsidR="001E49C2" w:rsidRPr="001E49C2">
        <w:rPr>
          <w:rFonts w:ascii="標楷體" w:eastAsia="標楷體" w:hAnsi="標楷體" w:hint="eastAsia"/>
          <w:szCs w:val="24"/>
        </w:rPr>
        <w:t>含汞燈</w:t>
      </w:r>
      <w:proofErr w:type="gramEnd"/>
      <w:r w:rsidR="001E49C2" w:rsidRPr="001E49C2">
        <w:rPr>
          <w:rFonts w:ascii="標楷體" w:eastAsia="標楷體" w:hAnsi="標楷體" w:hint="eastAsia"/>
          <w:szCs w:val="24"/>
        </w:rPr>
        <w:t>。發光二極體照明光源</w:t>
      </w:r>
      <w:proofErr w:type="gramStart"/>
      <w:r w:rsidR="001E49C2" w:rsidRPr="001E49C2">
        <w:rPr>
          <w:rFonts w:ascii="標楷體" w:eastAsia="標楷體" w:hAnsi="標楷體" w:hint="eastAsia"/>
          <w:szCs w:val="24"/>
        </w:rPr>
        <w:t>包括直管型</w:t>
      </w:r>
      <w:proofErr w:type="gramEnd"/>
      <w:r w:rsidR="001E49C2" w:rsidRPr="001E49C2">
        <w:rPr>
          <w:rFonts w:ascii="標楷體" w:eastAsia="標楷體" w:hAnsi="標楷體" w:hint="eastAsia"/>
          <w:szCs w:val="24"/>
        </w:rPr>
        <w:t>、</w:t>
      </w:r>
      <w:proofErr w:type="gramStart"/>
      <w:r w:rsidR="001E49C2" w:rsidRPr="001E49C2">
        <w:rPr>
          <w:rFonts w:ascii="標楷體" w:eastAsia="標楷體" w:hAnsi="標楷體" w:hint="eastAsia"/>
          <w:szCs w:val="24"/>
        </w:rPr>
        <w:t>環管型</w:t>
      </w:r>
      <w:proofErr w:type="gramEnd"/>
      <w:r w:rsidR="001E49C2" w:rsidRPr="001E49C2">
        <w:rPr>
          <w:rFonts w:ascii="標楷體" w:eastAsia="標楷體" w:hAnsi="標楷體" w:hint="eastAsia"/>
          <w:szCs w:val="24"/>
        </w:rPr>
        <w:t>、安定器內藏式型及緊密型。</w:t>
      </w:r>
    </w:p>
    <w:p w:rsidR="00B0604C" w:rsidRDefault="007423BB" w:rsidP="00B0604C">
      <w:pPr>
        <w:pStyle w:val="a5"/>
        <w:tabs>
          <w:tab w:val="left" w:pos="16080"/>
        </w:tabs>
        <w:spacing w:line="320" w:lineRule="exact"/>
        <w:ind w:leftChars="185" w:left="1372" w:hangingChars="325" w:hanging="780"/>
        <w:rPr>
          <w:rFonts w:ascii="標楷體" w:eastAsia="標楷體" w:hAnsi="標楷體" w:hint="eastAsia"/>
          <w:szCs w:val="24"/>
        </w:rPr>
      </w:pPr>
      <w:r w:rsidRPr="005A2E09">
        <w:rPr>
          <w:rFonts w:ascii="標楷體" w:eastAsia="標楷體" w:hAnsi="標楷體" w:hint="eastAsia"/>
          <w:szCs w:val="24"/>
        </w:rPr>
        <w:t xml:space="preserve"> </w:t>
      </w:r>
      <w:r w:rsidR="00344E17" w:rsidRPr="005A2E09">
        <w:rPr>
          <w:rFonts w:ascii="標楷體" w:eastAsia="標楷體" w:hAnsi="標楷體" w:hint="eastAsia"/>
          <w:szCs w:val="24"/>
        </w:rPr>
        <w:t>(十九)</w:t>
      </w:r>
      <w:r w:rsidR="00B0604C" w:rsidRPr="00B0604C">
        <w:rPr>
          <w:rFonts w:hint="eastAsia"/>
        </w:rPr>
        <w:t xml:space="preserve"> </w:t>
      </w:r>
      <w:r w:rsidR="00B0604C" w:rsidRPr="00B0604C">
        <w:rPr>
          <w:rFonts w:ascii="標楷體" w:eastAsia="標楷體" w:hAnsi="標楷體" w:hint="eastAsia"/>
          <w:szCs w:val="24"/>
        </w:rPr>
        <w:t>乾電池：指以化學能直接轉換成電能，組裝前單只重量小於一公斤，密閉式之小型電池，包括一次電池及二次電池，如圓筒、</w:t>
      </w:r>
      <w:proofErr w:type="gramStart"/>
      <w:r w:rsidR="00C3664A" w:rsidRPr="00C3664A">
        <w:rPr>
          <w:rFonts w:ascii="標楷體" w:eastAsia="標楷體" w:hAnsi="標楷體" w:hint="eastAsia"/>
          <w:szCs w:val="24"/>
        </w:rPr>
        <w:t>方筒</w:t>
      </w:r>
      <w:proofErr w:type="gramEnd"/>
      <w:r w:rsidR="00C3664A" w:rsidRPr="00C3664A">
        <w:rPr>
          <w:rFonts w:ascii="標楷體" w:eastAsia="標楷體" w:hAnsi="標楷體" w:hint="eastAsia"/>
          <w:szCs w:val="24"/>
        </w:rPr>
        <w:t>、鈕釦型及組裝型之鹼性電池、鋰電池、鎳鎘電池、鎳氫電池及水銀電池等。</w:t>
      </w:r>
    </w:p>
    <w:p w:rsidR="00C3664A" w:rsidRDefault="00AD61CB" w:rsidP="00B0604C">
      <w:pPr>
        <w:pStyle w:val="a5"/>
        <w:tabs>
          <w:tab w:val="left" w:pos="16080"/>
        </w:tabs>
        <w:spacing w:line="320" w:lineRule="exact"/>
        <w:ind w:leftChars="185" w:left="1372" w:hangingChars="325" w:hanging="780"/>
        <w:rPr>
          <w:rFonts w:ascii="標楷體" w:eastAsia="標楷體" w:hAnsi="標楷體" w:hint="eastAsia"/>
          <w:szCs w:val="24"/>
        </w:rPr>
      </w:pPr>
      <w:r w:rsidRPr="00AD61CB">
        <w:rPr>
          <w:rFonts w:ascii="標楷體" w:eastAsia="標楷體" w:hAnsi="標楷體" w:hint="eastAsia"/>
          <w:szCs w:val="24"/>
        </w:rPr>
        <w:t>(二十)鉛蓄電池：包括發動活塞引擎用及</w:t>
      </w:r>
      <w:proofErr w:type="gramStart"/>
      <w:r w:rsidRPr="00AD61CB">
        <w:rPr>
          <w:rFonts w:ascii="標楷體" w:eastAsia="標楷體" w:hAnsi="標楷體" w:hint="eastAsia"/>
          <w:szCs w:val="24"/>
        </w:rPr>
        <w:t>其他鉛</w:t>
      </w:r>
      <w:proofErr w:type="gramEnd"/>
      <w:r w:rsidRPr="00AD61CB">
        <w:rPr>
          <w:rFonts w:ascii="標楷體" w:eastAsia="標楷體" w:hAnsi="標楷體" w:hint="eastAsia"/>
          <w:szCs w:val="24"/>
        </w:rPr>
        <w:t>酸蓄電池，如電瓶。</w:t>
      </w:r>
    </w:p>
    <w:p w:rsidR="00AD61CB" w:rsidRDefault="00F8017E" w:rsidP="00B0604C">
      <w:pPr>
        <w:pStyle w:val="a5"/>
        <w:tabs>
          <w:tab w:val="left" w:pos="16080"/>
        </w:tabs>
        <w:spacing w:line="320" w:lineRule="exact"/>
        <w:ind w:leftChars="185" w:left="1372" w:hangingChars="325" w:hanging="780"/>
        <w:rPr>
          <w:rFonts w:ascii="標楷體" w:eastAsia="標楷體" w:hAnsi="標楷體" w:hint="eastAsia"/>
          <w:szCs w:val="24"/>
        </w:rPr>
      </w:pPr>
      <w:r w:rsidRPr="00F8017E">
        <w:rPr>
          <w:rFonts w:ascii="標楷體" w:eastAsia="標楷體" w:hAnsi="標楷體" w:hint="eastAsia"/>
          <w:szCs w:val="24"/>
        </w:rPr>
        <w:t>(二十一)家電：指公告應回收之電子電器物品，包括電視機、電冰箱、洗衣機、冷暖氣機、電風扇等，及其他大小型家電，如電熱水瓶、電磁爐、電鍋、飲水機、微波爐、烤箱、咖啡機、吹風機、吸塵器、電暖器、錄放影機等。</w:t>
      </w:r>
    </w:p>
    <w:p w:rsidR="00947BB2" w:rsidRDefault="00947BB2" w:rsidP="00B0604C">
      <w:pPr>
        <w:pStyle w:val="a5"/>
        <w:tabs>
          <w:tab w:val="left" w:pos="16080"/>
        </w:tabs>
        <w:spacing w:line="320" w:lineRule="exact"/>
        <w:ind w:leftChars="185" w:left="1372" w:hangingChars="325" w:hanging="780"/>
        <w:rPr>
          <w:rFonts w:ascii="標楷體" w:eastAsia="標楷體" w:hAnsi="標楷體" w:hint="eastAsia"/>
          <w:szCs w:val="24"/>
        </w:rPr>
      </w:pPr>
      <w:r w:rsidRPr="00947BB2">
        <w:rPr>
          <w:rFonts w:ascii="標楷體" w:eastAsia="標楷體" w:hAnsi="標楷體" w:hint="eastAsia"/>
          <w:szCs w:val="24"/>
        </w:rPr>
        <w:t>(二十二)資訊物品：指公告應回收之資訊物品，包括筆記型電腦、平板電腦及用於個人電腦之主機板、硬式磁碟機、電源器、機殼、顯示器、印表機、鍵盤等。</w:t>
      </w:r>
    </w:p>
    <w:p w:rsidR="00947BB2" w:rsidRDefault="00947BB2" w:rsidP="00B0604C">
      <w:pPr>
        <w:pStyle w:val="a5"/>
        <w:tabs>
          <w:tab w:val="left" w:pos="16080"/>
        </w:tabs>
        <w:spacing w:line="320" w:lineRule="exact"/>
        <w:ind w:leftChars="185" w:left="1372" w:hangingChars="325" w:hanging="780"/>
        <w:rPr>
          <w:rFonts w:ascii="標楷體" w:eastAsia="標楷體" w:hAnsi="標楷體" w:hint="eastAsia"/>
          <w:szCs w:val="24"/>
        </w:rPr>
      </w:pPr>
      <w:r w:rsidRPr="00947BB2">
        <w:rPr>
          <w:rFonts w:ascii="標楷體" w:eastAsia="標楷體" w:hAnsi="標楷體" w:hint="eastAsia"/>
          <w:szCs w:val="24"/>
        </w:rPr>
        <w:t>(二十三)行動電話(含充電器)：指行動電話及其充電器(包括</w:t>
      </w:r>
      <w:proofErr w:type="gramStart"/>
      <w:r w:rsidRPr="00947BB2">
        <w:rPr>
          <w:rFonts w:ascii="標楷體" w:eastAsia="標楷體" w:hAnsi="標楷體" w:hint="eastAsia"/>
          <w:szCs w:val="24"/>
        </w:rPr>
        <w:t>座充及旅充</w:t>
      </w:r>
      <w:proofErr w:type="gramEnd"/>
      <w:r w:rsidRPr="00947BB2">
        <w:rPr>
          <w:rFonts w:ascii="標楷體" w:eastAsia="標楷體" w:hAnsi="標楷體" w:hint="eastAsia"/>
          <w:szCs w:val="24"/>
        </w:rPr>
        <w:t>)。</w:t>
      </w:r>
    </w:p>
    <w:p w:rsidR="00947BB2" w:rsidRDefault="008854AF" w:rsidP="00B0604C">
      <w:pPr>
        <w:pStyle w:val="a5"/>
        <w:tabs>
          <w:tab w:val="left" w:pos="16080"/>
        </w:tabs>
        <w:spacing w:line="320" w:lineRule="exact"/>
        <w:ind w:leftChars="185" w:left="1372" w:hangingChars="325" w:hanging="780"/>
        <w:rPr>
          <w:rFonts w:ascii="標楷體" w:eastAsia="標楷體" w:hAnsi="標楷體" w:hint="eastAsia"/>
          <w:szCs w:val="24"/>
        </w:rPr>
      </w:pPr>
      <w:r w:rsidRPr="008854AF">
        <w:rPr>
          <w:rFonts w:ascii="標楷體" w:eastAsia="標楷體" w:hAnsi="標楷體" w:hint="eastAsia"/>
          <w:szCs w:val="24"/>
        </w:rPr>
        <w:t>(二十四)農藥容器及特殊環境用藥容器：指以塑膠、玻璃、金屬、紙、鋁箔或其他經行政院環境保護署公告之單一或複合材質製成，用以直接裝填成品農藥或特殊環境用藥之容器。</w:t>
      </w:r>
    </w:p>
    <w:p w:rsidR="00230CC5" w:rsidRDefault="00230CC5" w:rsidP="00B0604C">
      <w:pPr>
        <w:pStyle w:val="a5"/>
        <w:tabs>
          <w:tab w:val="left" w:pos="16080"/>
        </w:tabs>
        <w:spacing w:line="320" w:lineRule="exact"/>
        <w:ind w:leftChars="185" w:left="1372" w:hangingChars="325" w:hanging="780"/>
        <w:rPr>
          <w:rFonts w:ascii="標楷體" w:eastAsia="標楷體" w:hAnsi="標楷體" w:hint="eastAsia"/>
          <w:szCs w:val="24"/>
        </w:rPr>
      </w:pPr>
      <w:r w:rsidRPr="00230CC5">
        <w:rPr>
          <w:rFonts w:ascii="標楷體" w:eastAsia="標楷體" w:hAnsi="標楷體" w:hint="eastAsia"/>
          <w:szCs w:val="24"/>
        </w:rPr>
        <w:t>(二十五)食用油：指可供食用之動植物油脂。</w:t>
      </w:r>
    </w:p>
    <w:p w:rsidR="00230CC5" w:rsidRDefault="00230CC5" w:rsidP="00B0604C">
      <w:pPr>
        <w:pStyle w:val="a5"/>
        <w:tabs>
          <w:tab w:val="left" w:pos="16080"/>
        </w:tabs>
        <w:spacing w:line="320" w:lineRule="exact"/>
        <w:ind w:leftChars="185" w:left="1372" w:hangingChars="325" w:hanging="780"/>
        <w:rPr>
          <w:rFonts w:ascii="標楷體" w:eastAsia="標楷體" w:hAnsi="標楷體" w:hint="eastAsia"/>
          <w:szCs w:val="24"/>
        </w:rPr>
      </w:pPr>
      <w:r w:rsidRPr="00230CC5">
        <w:rPr>
          <w:rFonts w:ascii="標楷體" w:eastAsia="標楷體" w:hAnsi="標楷體" w:hint="eastAsia"/>
          <w:szCs w:val="24"/>
        </w:rPr>
        <w:lastRenderedPageBreak/>
        <w:t>(二十六)其他：指無法直接歸類之回收項目，如巨大垃圾等，或縣主管機關增訂並報請中央主管機關備查之其他一般廢棄物回收項目，如潤滑油、塑膠袋等。</w:t>
      </w:r>
    </w:p>
    <w:p w:rsidR="00230CC5" w:rsidRDefault="00173534" w:rsidP="00B0604C">
      <w:pPr>
        <w:pStyle w:val="a5"/>
        <w:tabs>
          <w:tab w:val="left" w:pos="16080"/>
        </w:tabs>
        <w:spacing w:line="320" w:lineRule="exact"/>
        <w:ind w:leftChars="185" w:left="1372" w:hangingChars="325" w:hanging="780"/>
        <w:rPr>
          <w:rFonts w:ascii="標楷體" w:eastAsia="標楷體" w:hAnsi="標楷體" w:hint="eastAsia"/>
          <w:szCs w:val="24"/>
        </w:rPr>
      </w:pPr>
      <w:r w:rsidRPr="00173534">
        <w:rPr>
          <w:rFonts w:ascii="標楷體" w:eastAsia="標楷體" w:hAnsi="標楷體" w:hint="eastAsia"/>
          <w:szCs w:val="24"/>
        </w:rPr>
        <w:t>(二十七)</w:t>
      </w:r>
      <w:proofErr w:type="gramStart"/>
      <w:r w:rsidRPr="00173534">
        <w:rPr>
          <w:rFonts w:ascii="標楷體" w:eastAsia="標楷體" w:hAnsi="標楷體" w:hint="eastAsia"/>
          <w:szCs w:val="24"/>
        </w:rPr>
        <w:t>本表皆以</w:t>
      </w:r>
      <w:proofErr w:type="gramEnd"/>
      <w:r w:rsidRPr="00173534">
        <w:rPr>
          <w:rFonts w:ascii="標楷體" w:eastAsia="標楷體" w:hAnsi="標楷體" w:hint="eastAsia"/>
          <w:szCs w:val="24"/>
        </w:rPr>
        <w:t>公斤為單位，若無法得其實際重量，請至「生活廢棄物質管理資訊系統」主管機關頁面&gt;點選「常見問題區」中「資源回收項目重量折算標準」可供參考，網址：http://hwms.epa.gov.tw/。</w:t>
      </w:r>
    </w:p>
    <w:p w:rsidR="00344E17" w:rsidRPr="005A2E09" w:rsidRDefault="00344E17" w:rsidP="00B0604C">
      <w:pPr>
        <w:pStyle w:val="a5"/>
        <w:tabs>
          <w:tab w:val="left" w:pos="16080"/>
        </w:tabs>
        <w:spacing w:line="320" w:lineRule="exact"/>
        <w:ind w:leftChars="185" w:left="1372" w:hangingChars="325" w:hanging="780"/>
        <w:rPr>
          <w:rFonts w:ascii="標楷體" w:hAnsi="標楷體"/>
        </w:rPr>
      </w:pPr>
      <w:r w:rsidRPr="005A2E09">
        <w:rPr>
          <w:rFonts w:ascii="標楷體" w:hAnsi="標楷體" w:hint="eastAsia"/>
        </w:rPr>
        <w:t xml:space="preserve">  </w:t>
      </w:r>
      <w:proofErr w:type="gramStart"/>
      <w:r w:rsidRPr="005A2E09">
        <w:rPr>
          <w:rFonts w:ascii="標楷體" w:hAnsi="標楷體" w:hint="eastAsia"/>
        </w:rPr>
        <w:t>＊</w:t>
      </w:r>
      <w:proofErr w:type="gramEnd"/>
      <w:r w:rsidRPr="005A2E09">
        <w:rPr>
          <w:rFonts w:ascii="標楷體" w:hAnsi="標楷體" w:hint="eastAsia"/>
        </w:rPr>
        <w:t>統計單位：依據表內容分類</w:t>
      </w:r>
    </w:p>
    <w:p w:rsidR="00344E17" w:rsidRPr="00242BA3" w:rsidRDefault="00344E17" w:rsidP="00242BA3">
      <w:pPr>
        <w:tabs>
          <w:tab w:val="left" w:pos="10560"/>
          <w:tab w:val="left" w:pos="11520"/>
          <w:tab w:val="left" w:pos="12480"/>
          <w:tab w:val="left" w:pos="13440"/>
        </w:tabs>
        <w:autoSpaceDE w:val="0"/>
        <w:autoSpaceDN w:val="0"/>
        <w:spacing w:line="320" w:lineRule="exact"/>
        <w:ind w:leftChars="89" w:left="2121" w:right="71" w:hangingChars="765" w:hanging="1836"/>
        <w:rPr>
          <w:rFonts w:ascii="標楷體" w:hAnsi="標楷體"/>
          <w:sz w:val="24"/>
        </w:rPr>
      </w:pPr>
      <w:r w:rsidRPr="00242BA3">
        <w:rPr>
          <w:rFonts w:ascii="標楷體" w:hAnsi="標楷體" w:hint="eastAsia"/>
          <w:sz w:val="24"/>
        </w:rPr>
        <w:t>＊統計分類：</w:t>
      </w:r>
      <w:r w:rsidR="00242BA3" w:rsidRPr="00242BA3">
        <w:rPr>
          <w:rFonts w:ascii="標楷體" w:hAnsi="標楷體" w:hint="eastAsia"/>
          <w:sz w:val="24"/>
        </w:rPr>
        <w:t>(一)縱項目：按</w:t>
      </w:r>
      <w:r w:rsidR="00794E9C">
        <w:rPr>
          <w:rFonts w:ascii="標楷體" w:hAnsi="標楷體" w:hint="eastAsia"/>
          <w:sz w:val="24"/>
        </w:rPr>
        <w:t>清運單位</w:t>
      </w:r>
      <w:bookmarkStart w:id="0" w:name="_GoBack"/>
      <w:bookmarkEnd w:id="0"/>
      <w:r w:rsidR="00242BA3" w:rsidRPr="00242BA3">
        <w:rPr>
          <w:rFonts w:ascii="標楷體" w:hAnsi="標楷體" w:hint="eastAsia"/>
          <w:sz w:val="24"/>
        </w:rPr>
        <w:t>分。(二)橫項目：按回收</w:t>
      </w:r>
      <w:r w:rsidR="00794E9C">
        <w:rPr>
          <w:rFonts w:ascii="標楷體" w:hAnsi="標楷體" w:hint="eastAsia"/>
          <w:sz w:val="24"/>
        </w:rPr>
        <w:t>項目</w:t>
      </w:r>
      <w:r w:rsidR="00242BA3" w:rsidRPr="00242BA3">
        <w:rPr>
          <w:rFonts w:ascii="標楷體" w:hAnsi="標楷體" w:hint="eastAsia"/>
          <w:sz w:val="24"/>
        </w:rPr>
        <w:t>別分。</w:t>
      </w:r>
    </w:p>
    <w:p w:rsidR="00344E17" w:rsidRPr="005A2E09" w:rsidRDefault="00344E17">
      <w:pPr>
        <w:spacing w:line="320" w:lineRule="exact"/>
        <w:ind w:firstLine="280"/>
        <w:jc w:val="both"/>
        <w:rPr>
          <w:rFonts w:ascii="標楷體" w:hAnsi="標楷體"/>
          <w:sz w:val="24"/>
        </w:rPr>
      </w:pPr>
      <w:proofErr w:type="gramStart"/>
      <w:r w:rsidRPr="005A2E09">
        <w:rPr>
          <w:rFonts w:ascii="標楷體" w:hAnsi="標楷體" w:hint="eastAsia"/>
          <w:sz w:val="24"/>
        </w:rPr>
        <w:t>＊</w:t>
      </w:r>
      <w:proofErr w:type="gramEnd"/>
      <w:r w:rsidRPr="005A2E09">
        <w:rPr>
          <w:rFonts w:ascii="標楷體" w:hAnsi="標楷體" w:hint="eastAsia"/>
          <w:sz w:val="24"/>
        </w:rPr>
        <w:t>發布週期（指資料編製或產生之頻率，如月、季、年等）：月</w:t>
      </w:r>
    </w:p>
    <w:p w:rsidR="00344E17" w:rsidRPr="005A2E09" w:rsidRDefault="00344E17">
      <w:pPr>
        <w:spacing w:line="320" w:lineRule="exact"/>
        <w:ind w:firstLine="280"/>
        <w:jc w:val="both"/>
        <w:rPr>
          <w:rFonts w:ascii="標楷體" w:hAnsi="標楷體"/>
          <w:sz w:val="24"/>
        </w:rPr>
      </w:pPr>
      <w:proofErr w:type="gramStart"/>
      <w:r w:rsidRPr="005A2E09">
        <w:rPr>
          <w:rFonts w:ascii="標楷體" w:hAnsi="標楷體" w:hint="eastAsia"/>
          <w:sz w:val="24"/>
        </w:rPr>
        <w:t>＊</w:t>
      </w:r>
      <w:proofErr w:type="gramEnd"/>
      <w:r w:rsidRPr="005A2E09">
        <w:rPr>
          <w:rFonts w:ascii="標楷體" w:hAnsi="標楷體" w:hint="eastAsia"/>
          <w:sz w:val="24"/>
        </w:rPr>
        <w:t>時效（指統計標準時間至資料發布時間之間隔時間）：20日</w:t>
      </w:r>
    </w:p>
    <w:p w:rsidR="00344E17" w:rsidRDefault="00344E17">
      <w:pPr>
        <w:spacing w:line="320" w:lineRule="exact"/>
        <w:ind w:firstLine="280"/>
        <w:jc w:val="both"/>
        <w:rPr>
          <w:rFonts w:ascii="標楷體" w:hAnsi="標楷體"/>
          <w:sz w:val="24"/>
        </w:rPr>
      </w:pPr>
      <w:r w:rsidRPr="005A2E09">
        <w:rPr>
          <w:rFonts w:ascii="標楷體" w:hAnsi="標楷體" w:hint="eastAsia"/>
          <w:sz w:val="24"/>
        </w:rPr>
        <w:t>＊資料變革：</w:t>
      </w:r>
      <w:r w:rsidR="00BB6765">
        <w:rPr>
          <w:rFonts w:ascii="標楷體" w:hint="eastAsia"/>
          <w:sz w:val="28"/>
        </w:rPr>
        <w:t>無</w:t>
      </w:r>
      <w:r w:rsidR="0030044E">
        <w:rPr>
          <w:rFonts w:ascii="標楷體" w:hint="eastAsia"/>
          <w:sz w:val="28"/>
        </w:rPr>
        <w:t>。</w:t>
      </w:r>
    </w:p>
    <w:p w:rsidR="00B03D86" w:rsidRDefault="00B03D86">
      <w:pPr>
        <w:spacing w:line="320" w:lineRule="exact"/>
        <w:ind w:firstLine="280"/>
        <w:jc w:val="both"/>
        <w:rPr>
          <w:rFonts w:ascii="標楷體" w:hAnsi="標楷體"/>
          <w:sz w:val="24"/>
        </w:rPr>
      </w:pPr>
    </w:p>
    <w:p w:rsidR="00B03D86" w:rsidRPr="005A2E09" w:rsidRDefault="00B03D86">
      <w:pPr>
        <w:spacing w:line="320" w:lineRule="exact"/>
        <w:ind w:firstLine="280"/>
        <w:jc w:val="both"/>
        <w:rPr>
          <w:rFonts w:ascii="標楷體" w:hAnsi="標楷體"/>
          <w:sz w:val="24"/>
        </w:rPr>
      </w:pPr>
    </w:p>
    <w:p w:rsidR="00344E17" w:rsidRPr="005A2E09" w:rsidRDefault="00344E17">
      <w:pPr>
        <w:spacing w:before="240" w:line="320" w:lineRule="exact"/>
        <w:ind w:left="616" w:hanging="616"/>
        <w:jc w:val="both"/>
        <w:rPr>
          <w:rFonts w:ascii="標楷體" w:hAnsi="標楷體"/>
          <w:sz w:val="24"/>
        </w:rPr>
      </w:pPr>
      <w:r w:rsidRPr="005A2E09">
        <w:rPr>
          <w:rFonts w:ascii="標楷體" w:hAnsi="標楷體" w:hint="eastAsia"/>
          <w:sz w:val="24"/>
        </w:rPr>
        <w:t>四、公開資料發布訊息</w:t>
      </w:r>
    </w:p>
    <w:p w:rsidR="00344E17" w:rsidRPr="005A2E09" w:rsidRDefault="00344E17">
      <w:pPr>
        <w:spacing w:line="320" w:lineRule="exact"/>
        <w:ind w:left="560" w:hanging="308"/>
        <w:jc w:val="both"/>
        <w:rPr>
          <w:rFonts w:ascii="標楷體" w:hAnsi="標楷體"/>
          <w:sz w:val="24"/>
        </w:rPr>
      </w:pPr>
      <w:proofErr w:type="gramStart"/>
      <w:r w:rsidRPr="005A2E09">
        <w:rPr>
          <w:rFonts w:ascii="標楷體" w:hAnsi="標楷體" w:hint="eastAsia"/>
          <w:sz w:val="24"/>
        </w:rPr>
        <w:t>＊</w:t>
      </w:r>
      <w:proofErr w:type="gramEnd"/>
      <w:r w:rsidRPr="005A2E09">
        <w:rPr>
          <w:rFonts w:ascii="標楷體" w:hAnsi="標楷體" w:hint="eastAsia"/>
          <w:sz w:val="24"/>
        </w:rPr>
        <w:t>預告發布日期（含預告方式及週期）：每月20日前以公務統計報表發布</w:t>
      </w:r>
    </w:p>
    <w:p w:rsidR="00344E17" w:rsidRPr="005A2E09" w:rsidRDefault="00344E17">
      <w:pPr>
        <w:spacing w:line="320" w:lineRule="exact"/>
        <w:ind w:left="560" w:hanging="308"/>
        <w:jc w:val="both"/>
        <w:rPr>
          <w:rFonts w:ascii="標楷體" w:hAnsi="標楷體"/>
          <w:sz w:val="24"/>
        </w:rPr>
      </w:pPr>
      <w:proofErr w:type="gramStart"/>
      <w:r w:rsidRPr="005A2E09">
        <w:rPr>
          <w:rFonts w:ascii="標楷體" w:hAnsi="標楷體" w:hint="eastAsia"/>
          <w:sz w:val="24"/>
        </w:rPr>
        <w:t>＊</w:t>
      </w:r>
      <w:proofErr w:type="gramEnd"/>
      <w:r w:rsidRPr="005A2E09">
        <w:rPr>
          <w:rFonts w:ascii="標楷體" w:hAnsi="標楷體" w:hint="eastAsia"/>
          <w:sz w:val="24"/>
        </w:rPr>
        <w:t>同步發送單位（說明資料發布時同步發送之單位或可同步查得該資料之網址）：   行政院環境保護署統計室、</w:t>
      </w:r>
      <w:r w:rsidR="00BE34CE">
        <w:rPr>
          <w:rFonts w:ascii="標楷體" w:hAnsi="標楷體" w:hint="eastAsia"/>
          <w:sz w:val="24"/>
        </w:rPr>
        <w:t>金門</w:t>
      </w:r>
      <w:r w:rsidR="00E17B31">
        <w:rPr>
          <w:rFonts w:ascii="標楷體" w:hAnsi="標楷體" w:hint="eastAsia"/>
          <w:sz w:val="24"/>
        </w:rPr>
        <w:t>縣</w:t>
      </w:r>
      <w:r w:rsidRPr="005A2E09">
        <w:rPr>
          <w:rFonts w:ascii="標楷體" w:hAnsi="標楷體" w:hint="eastAsia"/>
          <w:sz w:val="24"/>
        </w:rPr>
        <w:t>政府主計處、</w:t>
      </w:r>
      <w:r w:rsidR="00BE34CE">
        <w:rPr>
          <w:rFonts w:ascii="標楷體" w:hAnsi="標楷體" w:hint="eastAsia"/>
          <w:sz w:val="24"/>
        </w:rPr>
        <w:t>金門</w:t>
      </w:r>
      <w:r w:rsidR="00E17B31">
        <w:rPr>
          <w:rFonts w:ascii="標楷體" w:hAnsi="標楷體" w:hint="eastAsia"/>
          <w:sz w:val="24"/>
        </w:rPr>
        <w:t>縣</w:t>
      </w:r>
      <w:r w:rsidRPr="005A2E09">
        <w:rPr>
          <w:rFonts w:ascii="標楷體" w:hAnsi="標楷體" w:hint="eastAsia"/>
          <w:sz w:val="24"/>
        </w:rPr>
        <w:t>環境保護局會計室</w:t>
      </w:r>
      <w:r w:rsidR="00951518" w:rsidRPr="005A2E09">
        <w:rPr>
          <w:rFonts w:ascii="標楷體" w:hAnsi="標楷體" w:hint="eastAsia"/>
          <w:sz w:val="24"/>
        </w:rPr>
        <w:t>。</w:t>
      </w:r>
    </w:p>
    <w:p w:rsidR="00344E17" w:rsidRPr="005A2E09" w:rsidRDefault="00344E17">
      <w:pPr>
        <w:spacing w:before="240" w:line="320" w:lineRule="exact"/>
        <w:ind w:left="616" w:hanging="616"/>
        <w:jc w:val="both"/>
        <w:rPr>
          <w:rFonts w:ascii="標楷體" w:hAnsi="標楷體"/>
          <w:sz w:val="24"/>
        </w:rPr>
      </w:pPr>
      <w:r w:rsidRPr="005A2E09">
        <w:rPr>
          <w:rFonts w:ascii="標楷體" w:hAnsi="標楷體" w:hint="eastAsia"/>
          <w:sz w:val="24"/>
        </w:rPr>
        <w:t>五、資料品質</w:t>
      </w:r>
    </w:p>
    <w:p w:rsidR="00344E17" w:rsidRPr="005A2E09" w:rsidRDefault="00344E17">
      <w:pPr>
        <w:spacing w:line="320" w:lineRule="exact"/>
        <w:ind w:leftChars="100" w:left="560" w:hangingChars="100" w:hanging="240"/>
        <w:jc w:val="both"/>
        <w:rPr>
          <w:rFonts w:ascii="標楷體" w:hAnsi="標楷體"/>
          <w:sz w:val="24"/>
        </w:rPr>
      </w:pPr>
      <w:proofErr w:type="gramStart"/>
      <w:r w:rsidRPr="005A2E09">
        <w:rPr>
          <w:rFonts w:ascii="標楷體" w:hAnsi="標楷體" w:hint="eastAsia"/>
          <w:sz w:val="24"/>
        </w:rPr>
        <w:t>＊</w:t>
      </w:r>
      <w:proofErr w:type="gramEnd"/>
      <w:r w:rsidRPr="005A2E09">
        <w:rPr>
          <w:rFonts w:ascii="標楷體" w:hAnsi="標楷體" w:hint="eastAsia"/>
          <w:sz w:val="24"/>
        </w:rPr>
        <w:t>統計指標編製方法與資料來源說明：由</w:t>
      </w:r>
      <w:r w:rsidR="004D652A">
        <w:rPr>
          <w:rFonts w:ascii="標楷體" w:hAnsi="標楷體" w:hint="eastAsia"/>
          <w:sz w:val="24"/>
        </w:rPr>
        <w:t>金門</w:t>
      </w:r>
      <w:r w:rsidR="00E17B31">
        <w:rPr>
          <w:rFonts w:ascii="標楷體" w:hAnsi="標楷體" w:hint="eastAsia"/>
          <w:sz w:val="24"/>
        </w:rPr>
        <w:t>縣</w:t>
      </w:r>
      <w:r w:rsidRPr="005A2E09">
        <w:rPr>
          <w:rFonts w:ascii="標楷體" w:hAnsi="標楷體" w:hint="eastAsia"/>
          <w:sz w:val="24"/>
        </w:rPr>
        <w:t>環境保護局依本局及所轄各清潔</w:t>
      </w:r>
      <w:r w:rsidR="00951518" w:rsidRPr="005A2E09">
        <w:rPr>
          <w:rFonts w:ascii="標楷體" w:hAnsi="標楷體" w:hint="eastAsia"/>
          <w:sz w:val="24"/>
        </w:rPr>
        <w:t>隊、社區、學校及機關團體資源回收成果統計</w:t>
      </w:r>
      <w:r w:rsidR="00E71F4A" w:rsidRPr="005A2E09">
        <w:rPr>
          <w:rFonts w:ascii="標楷體" w:hAnsi="標楷體" w:hint="eastAsia"/>
          <w:sz w:val="24"/>
        </w:rPr>
        <w:t>資料</w:t>
      </w:r>
      <w:r w:rsidR="00216DCE" w:rsidRPr="005A2E09">
        <w:rPr>
          <w:rFonts w:ascii="標楷體" w:hAnsi="標楷體" w:hint="eastAsia"/>
          <w:sz w:val="24"/>
        </w:rPr>
        <w:t>彙總</w:t>
      </w:r>
      <w:r w:rsidRPr="005A2E09">
        <w:rPr>
          <w:rFonts w:ascii="標楷體" w:hAnsi="標楷體" w:hint="eastAsia"/>
          <w:sz w:val="24"/>
        </w:rPr>
        <w:t>編製。</w:t>
      </w:r>
    </w:p>
    <w:p w:rsidR="00344E17" w:rsidRPr="005A2E09" w:rsidRDefault="00344E17">
      <w:pPr>
        <w:tabs>
          <w:tab w:val="left" w:pos="8520"/>
        </w:tabs>
        <w:spacing w:line="320" w:lineRule="exact"/>
        <w:ind w:left="532" w:hanging="294"/>
        <w:jc w:val="both"/>
        <w:rPr>
          <w:rFonts w:ascii="標楷體" w:hAnsi="標楷體"/>
          <w:sz w:val="24"/>
        </w:rPr>
      </w:pPr>
      <w:proofErr w:type="gramStart"/>
      <w:r w:rsidRPr="005A2E09">
        <w:rPr>
          <w:rFonts w:ascii="標楷體" w:hAnsi="標楷體" w:hint="eastAsia"/>
          <w:sz w:val="24"/>
        </w:rPr>
        <w:t>＊</w:t>
      </w:r>
      <w:proofErr w:type="gramEnd"/>
      <w:r w:rsidRPr="005A2E09">
        <w:rPr>
          <w:rFonts w:ascii="標楷體" w:hAnsi="標楷體" w:hint="eastAsia"/>
          <w:sz w:val="24"/>
        </w:rPr>
        <w:t>統計資料交叉查核及確保資料合理性之機制（說明各項資料之相互關係及不同資料來源之相關統計差異性）：由於</w:t>
      </w:r>
      <w:r w:rsidRPr="005A2E09">
        <w:rPr>
          <w:rFonts w:ascii="標楷體" w:hAnsi="標楷體" w:hint="eastAsia"/>
          <w:bCs/>
          <w:sz w:val="24"/>
        </w:rPr>
        <w:t>統計數據主要來自電腦過磅資料，為確保資料正確性，地磅及清運車輛空重須不定期進行校正。</w:t>
      </w:r>
    </w:p>
    <w:p w:rsidR="00344E17" w:rsidRDefault="00344E17" w:rsidP="00951518">
      <w:pPr>
        <w:spacing w:before="240" w:line="320" w:lineRule="exact"/>
        <w:ind w:left="644" w:hanging="644"/>
        <w:jc w:val="both"/>
        <w:rPr>
          <w:rFonts w:ascii="標楷體" w:hAnsi="標楷體"/>
          <w:sz w:val="24"/>
        </w:rPr>
      </w:pPr>
      <w:r w:rsidRPr="005A2E09">
        <w:rPr>
          <w:rFonts w:ascii="標楷體" w:hAnsi="標楷體" w:hint="eastAsia"/>
          <w:sz w:val="24"/>
        </w:rPr>
        <w:t>六、須注意及預定改變之事項（說明預定修正之資料、定義、統計方法等及其修正原因）：無</w:t>
      </w:r>
      <w:r w:rsidR="00951518" w:rsidRPr="005A2E09">
        <w:rPr>
          <w:rFonts w:ascii="標楷體" w:hAnsi="標楷體" w:hint="eastAsia"/>
          <w:sz w:val="24"/>
        </w:rPr>
        <w:t>。</w:t>
      </w:r>
    </w:p>
    <w:p w:rsidR="00242BA3" w:rsidRPr="005A2E09" w:rsidRDefault="00242BA3" w:rsidP="00951518">
      <w:pPr>
        <w:spacing w:before="240" w:line="320" w:lineRule="exact"/>
        <w:ind w:left="644" w:hanging="644"/>
        <w:jc w:val="both"/>
        <w:rPr>
          <w:rFonts w:ascii="標楷體" w:hAnsi="標楷體"/>
          <w:sz w:val="24"/>
        </w:rPr>
      </w:pPr>
      <w:r>
        <w:rPr>
          <w:rFonts w:ascii="標楷體" w:hAnsi="標楷體" w:hint="eastAsia"/>
          <w:sz w:val="24"/>
        </w:rPr>
        <w:t>七、其他事項：無。</w:t>
      </w:r>
    </w:p>
    <w:sectPr w:rsidR="00242BA3" w:rsidRPr="005A2E09">
      <w:footerReference w:type="default" r:id="rId11"/>
      <w:pgSz w:w="11906" w:h="16838" w:code="9"/>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39" w:rsidRDefault="003F6A39">
      <w:r>
        <w:separator/>
      </w:r>
    </w:p>
  </w:endnote>
  <w:endnote w:type="continuationSeparator" w:id="0">
    <w:p w:rsidR="003F6A39" w:rsidRDefault="003F6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189" w:rsidRDefault="000C0189">
    <w:pPr>
      <w:pStyle w:val="a9"/>
      <w:jc w:val="center"/>
    </w:pPr>
    <w:r>
      <w:rPr>
        <w:rFonts w:hint="eastAsia"/>
      </w:rPr>
      <w:t>11350102#</w:t>
    </w:r>
    <w:r>
      <w:fldChar w:fldCharType="begin"/>
    </w:r>
    <w:r>
      <w:instrText xml:space="preserve"> PAGE   \* MERGEFORMAT </w:instrText>
    </w:r>
    <w:r>
      <w:fldChar w:fldCharType="separate"/>
    </w:r>
    <w:r w:rsidR="00794E9C" w:rsidRPr="00794E9C">
      <w:rPr>
        <w:noProof/>
        <w:lang w:val="zh-TW"/>
      </w:rPr>
      <w:t>3</w:t>
    </w:r>
    <w:r>
      <w:fldChar w:fldCharType="end"/>
    </w:r>
  </w:p>
  <w:p w:rsidR="000C0189" w:rsidRDefault="000C018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39" w:rsidRDefault="003F6A39">
      <w:r>
        <w:separator/>
      </w:r>
    </w:p>
  </w:footnote>
  <w:footnote w:type="continuationSeparator" w:id="0">
    <w:p w:rsidR="003F6A39" w:rsidRDefault="003F6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57E3A"/>
    <w:multiLevelType w:val="singleLevel"/>
    <w:tmpl w:val="8AD81A70"/>
    <w:lvl w:ilvl="0">
      <w:start w:val="1"/>
      <w:numFmt w:val="taiwaneseCountingThousand"/>
      <w:lvlText w:val="%1、"/>
      <w:lvlJc w:val="left"/>
      <w:pPr>
        <w:tabs>
          <w:tab w:val="num" w:pos="570"/>
        </w:tabs>
        <w:ind w:left="570" w:hanging="570"/>
      </w:pPr>
      <w:rPr>
        <w:rFonts w:hint="eastAsia"/>
      </w:rPr>
    </w:lvl>
  </w:abstractNum>
  <w:abstractNum w:abstractNumId="1">
    <w:nsid w:val="66DF3A96"/>
    <w:multiLevelType w:val="singleLevel"/>
    <w:tmpl w:val="62864F06"/>
    <w:lvl w:ilvl="0">
      <w:numFmt w:val="bullet"/>
      <w:lvlText w:val="＊"/>
      <w:lvlJc w:val="left"/>
      <w:pPr>
        <w:tabs>
          <w:tab w:val="num" w:pos="579"/>
        </w:tabs>
        <w:ind w:left="579" w:hanging="285"/>
      </w:pPr>
      <w:rPr>
        <w:rFonts w:ascii="標楷體" w:eastAsia="標楷體" w:hAnsi="Times New Roman" w:hint="eastAsia"/>
        <w:lang w:val="en-US"/>
      </w:rPr>
    </w:lvl>
  </w:abstractNum>
  <w:abstractNum w:abstractNumId="2">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FEB"/>
    <w:rsid w:val="0000562C"/>
    <w:rsid w:val="000A5600"/>
    <w:rsid w:val="000C0189"/>
    <w:rsid w:val="000D135C"/>
    <w:rsid w:val="0016390D"/>
    <w:rsid w:val="00163CC6"/>
    <w:rsid w:val="00173534"/>
    <w:rsid w:val="00182AD8"/>
    <w:rsid w:val="001E49C2"/>
    <w:rsid w:val="001E74A2"/>
    <w:rsid w:val="00216DCE"/>
    <w:rsid w:val="00230CC5"/>
    <w:rsid w:val="00242BA3"/>
    <w:rsid w:val="002453B1"/>
    <w:rsid w:val="002B6FEB"/>
    <w:rsid w:val="002B7342"/>
    <w:rsid w:val="0030044E"/>
    <w:rsid w:val="00331AF0"/>
    <w:rsid w:val="00344E17"/>
    <w:rsid w:val="003601A5"/>
    <w:rsid w:val="003E33E1"/>
    <w:rsid w:val="003E5057"/>
    <w:rsid w:val="003F6A39"/>
    <w:rsid w:val="004046E7"/>
    <w:rsid w:val="0041507F"/>
    <w:rsid w:val="00433AC5"/>
    <w:rsid w:val="00466AC7"/>
    <w:rsid w:val="004A1739"/>
    <w:rsid w:val="004D652A"/>
    <w:rsid w:val="00522263"/>
    <w:rsid w:val="00547161"/>
    <w:rsid w:val="00575654"/>
    <w:rsid w:val="00584901"/>
    <w:rsid w:val="005A2E09"/>
    <w:rsid w:val="005B3DF1"/>
    <w:rsid w:val="005D765B"/>
    <w:rsid w:val="005E39CB"/>
    <w:rsid w:val="00631673"/>
    <w:rsid w:val="00676AFF"/>
    <w:rsid w:val="006B4175"/>
    <w:rsid w:val="006B6B03"/>
    <w:rsid w:val="00700CA6"/>
    <w:rsid w:val="0071313D"/>
    <w:rsid w:val="007423BB"/>
    <w:rsid w:val="00762017"/>
    <w:rsid w:val="00794E9C"/>
    <w:rsid w:val="007E6A0C"/>
    <w:rsid w:val="007E7133"/>
    <w:rsid w:val="00801490"/>
    <w:rsid w:val="00805DB7"/>
    <w:rsid w:val="00833E9C"/>
    <w:rsid w:val="008854AF"/>
    <w:rsid w:val="00892EEB"/>
    <w:rsid w:val="008B1CBF"/>
    <w:rsid w:val="00947BB2"/>
    <w:rsid w:val="00951518"/>
    <w:rsid w:val="00986BFB"/>
    <w:rsid w:val="00A144CE"/>
    <w:rsid w:val="00A74606"/>
    <w:rsid w:val="00A84D0B"/>
    <w:rsid w:val="00AA5567"/>
    <w:rsid w:val="00AD61CB"/>
    <w:rsid w:val="00B03D86"/>
    <w:rsid w:val="00B0604C"/>
    <w:rsid w:val="00B252B8"/>
    <w:rsid w:val="00BB6765"/>
    <w:rsid w:val="00BB7002"/>
    <w:rsid w:val="00BC2268"/>
    <w:rsid w:val="00BD07BB"/>
    <w:rsid w:val="00BE34CE"/>
    <w:rsid w:val="00C2178C"/>
    <w:rsid w:val="00C22885"/>
    <w:rsid w:val="00C3664A"/>
    <w:rsid w:val="00C9145A"/>
    <w:rsid w:val="00CC29A8"/>
    <w:rsid w:val="00D04F65"/>
    <w:rsid w:val="00D50809"/>
    <w:rsid w:val="00D82294"/>
    <w:rsid w:val="00DA41CE"/>
    <w:rsid w:val="00DD0700"/>
    <w:rsid w:val="00DE73B0"/>
    <w:rsid w:val="00E17B31"/>
    <w:rsid w:val="00E70EBF"/>
    <w:rsid w:val="00E71F4A"/>
    <w:rsid w:val="00E73DF3"/>
    <w:rsid w:val="00EA46BA"/>
    <w:rsid w:val="00EB3C80"/>
    <w:rsid w:val="00EB7D57"/>
    <w:rsid w:val="00F067B6"/>
    <w:rsid w:val="00F249DE"/>
    <w:rsid w:val="00F77065"/>
    <w:rsid w:val="00F8017E"/>
    <w:rsid w:val="00FA0A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exact"/>
      <w:ind w:leftChars="115" w:left="3933" w:hangingChars="1114" w:hanging="3565"/>
      <w:jc w:val="both"/>
    </w:pPr>
    <w:rPr>
      <w:rFonts w:ascii="標楷體"/>
    </w:rPr>
  </w:style>
  <w:style w:type="character" w:styleId="a4">
    <w:name w:val="Hyperlink"/>
    <w:rPr>
      <w:color w:val="0000FF"/>
      <w:u w:val="single"/>
    </w:rPr>
  </w:style>
  <w:style w:type="paragraph" w:styleId="a5">
    <w:name w:val="Plain Text"/>
    <w:basedOn w:val="a"/>
    <w:rPr>
      <w:rFonts w:ascii="細明體" w:eastAsia="細明體" w:hAnsi="Courier New"/>
      <w:sz w:val="24"/>
      <w:szCs w:val="20"/>
    </w:rPr>
  </w:style>
  <w:style w:type="paragraph" w:styleId="a6">
    <w:name w:val="Salutation"/>
    <w:basedOn w:val="a"/>
    <w:next w:val="a"/>
    <w:rPr>
      <w:rFonts w:ascii="標楷體"/>
      <w:sz w:val="28"/>
    </w:rPr>
  </w:style>
  <w:style w:type="paragraph" w:styleId="a7">
    <w:name w:val="Closing"/>
    <w:basedOn w:val="a"/>
    <w:pPr>
      <w:ind w:leftChars="1800" w:left="100"/>
    </w:pPr>
    <w:rPr>
      <w:rFonts w:ascii="標楷體"/>
      <w:sz w:val="28"/>
    </w:rPr>
  </w:style>
  <w:style w:type="paragraph" w:styleId="a8">
    <w:name w:val="header"/>
    <w:basedOn w:val="a"/>
    <w:rsid w:val="00547161"/>
    <w:pPr>
      <w:tabs>
        <w:tab w:val="center" w:pos="4153"/>
        <w:tab w:val="right" w:pos="8306"/>
      </w:tabs>
      <w:snapToGrid w:val="0"/>
    </w:pPr>
    <w:rPr>
      <w:sz w:val="20"/>
      <w:szCs w:val="20"/>
    </w:rPr>
  </w:style>
  <w:style w:type="paragraph" w:styleId="a9">
    <w:name w:val="footer"/>
    <w:basedOn w:val="a"/>
    <w:link w:val="aa"/>
    <w:uiPriority w:val="99"/>
    <w:rsid w:val="00547161"/>
    <w:pPr>
      <w:tabs>
        <w:tab w:val="center" w:pos="4153"/>
        <w:tab w:val="right" w:pos="8306"/>
      </w:tabs>
      <w:snapToGrid w:val="0"/>
    </w:pPr>
    <w:rPr>
      <w:sz w:val="20"/>
      <w:szCs w:val="20"/>
    </w:rPr>
  </w:style>
  <w:style w:type="character" w:customStyle="1" w:styleId="aa">
    <w:name w:val="頁尾 字元"/>
    <w:link w:val="a9"/>
    <w:uiPriority w:val="99"/>
    <w:rsid w:val="003E33E1"/>
    <w:rPr>
      <w:rFonts w:eastAsia="標楷體"/>
      <w:kern w:val="2"/>
    </w:rPr>
  </w:style>
  <w:style w:type="paragraph" w:styleId="ab">
    <w:name w:val="Balloon Text"/>
    <w:basedOn w:val="a"/>
    <w:link w:val="ac"/>
    <w:rsid w:val="006B4175"/>
    <w:rPr>
      <w:rFonts w:asciiTheme="majorHAnsi" w:eastAsiaTheme="majorEastAsia" w:hAnsiTheme="majorHAnsi" w:cstheme="majorBidi"/>
      <w:sz w:val="18"/>
      <w:szCs w:val="18"/>
    </w:rPr>
  </w:style>
  <w:style w:type="character" w:customStyle="1" w:styleId="ac">
    <w:name w:val="註解方塊文字 字元"/>
    <w:basedOn w:val="a0"/>
    <w:link w:val="ab"/>
    <w:rsid w:val="006B417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exact"/>
      <w:ind w:leftChars="115" w:left="3933" w:hangingChars="1114" w:hanging="3565"/>
      <w:jc w:val="both"/>
    </w:pPr>
    <w:rPr>
      <w:rFonts w:ascii="標楷體"/>
    </w:rPr>
  </w:style>
  <w:style w:type="character" w:styleId="a4">
    <w:name w:val="Hyperlink"/>
    <w:rPr>
      <w:color w:val="0000FF"/>
      <w:u w:val="single"/>
    </w:rPr>
  </w:style>
  <w:style w:type="paragraph" w:styleId="a5">
    <w:name w:val="Plain Text"/>
    <w:basedOn w:val="a"/>
    <w:rPr>
      <w:rFonts w:ascii="細明體" w:eastAsia="細明體" w:hAnsi="Courier New"/>
      <w:sz w:val="24"/>
      <w:szCs w:val="20"/>
    </w:rPr>
  </w:style>
  <w:style w:type="paragraph" w:styleId="a6">
    <w:name w:val="Salutation"/>
    <w:basedOn w:val="a"/>
    <w:next w:val="a"/>
    <w:rPr>
      <w:rFonts w:ascii="標楷體"/>
      <w:sz w:val="28"/>
    </w:rPr>
  </w:style>
  <w:style w:type="paragraph" w:styleId="a7">
    <w:name w:val="Closing"/>
    <w:basedOn w:val="a"/>
    <w:pPr>
      <w:ind w:leftChars="1800" w:left="100"/>
    </w:pPr>
    <w:rPr>
      <w:rFonts w:ascii="標楷體"/>
      <w:sz w:val="28"/>
    </w:rPr>
  </w:style>
  <w:style w:type="paragraph" w:styleId="a8">
    <w:name w:val="header"/>
    <w:basedOn w:val="a"/>
    <w:rsid w:val="00547161"/>
    <w:pPr>
      <w:tabs>
        <w:tab w:val="center" w:pos="4153"/>
        <w:tab w:val="right" w:pos="8306"/>
      </w:tabs>
      <w:snapToGrid w:val="0"/>
    </w:pPr>
    <w:rPr>
      <w:sz w:val="20"/>
      <w:szCs w:val="20"/>
    </w:rPr>
  </w:style>
  <w:style w:type="paragraph" w:styleId="a9">
    <w:name w:val="footer"/>
    <w:basedOn w:val="a"/>
    <w:link w:val="aa"/>
    <w:uiPriority w:val="99"/>
    <w:rsid w:val="00547161"/>
    <w:pPr>
      <w:tabs>
        <w:tab w:val="center" w:pos="4153"/>
        <w:tab w:val="right" w:pos="8306"/>
      </w:tabs>
      <w:snapToGrid w:val="0"/>
    </w:pPr>
    <w:rPr>
      <w:sz w:val="20"/>
      <w:szCs w:val="20"/>
    </w:rPr>
  </w:style>
  <w:style w:type="character" w:customStyle="1" w:styleId="aa">
    <w:name w:val="頁尾 字元"/>
    <w:link w:val="a9"/>
    <w:uiPriority w:val="99"/>
    <w:rsid w:val="003E33E1"/>
    <w:rPr>
      <w:rFonts w:eastAsia="標楷體"/>
      <w:kern w:val="2"/>
    </w:rPr>
  </w:style>
  <w:style w:type="paragraph" w:styleId="ab">
    <w:name w:val="Balloon Text"/>
    <w:basedOn w:val="a"/>
    <w:link w:val="ac"/>
    <w:rsid w:val="006B4175"/>
    <w:rPr>
      <w:rFonts w:asciiTheme="majorHAnsi" w:eastAsiaTheme="majorEastAsia" w:hAnsiTheme="majorHAnsi" w:cstheme="majorBidi"/>
      <w:sz w:val="18"/>
      <w:szCs w:val="18"/>
    </w:rPr>
  </w:style>
  <w:style w:type="character" w:customStyle="1" w:styleId="ac">
    <w:name w:val="註解方塊文字 字元"/>
    <w:basedOn w:val="a0"/>
    <w:link w:val="ab"/>
    <w:rsid w:val="006B41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men.gov.tw/Layout/sub_D/Download_DownloadPage.aspx?path=14907&amp;Language=1&amp;UID=33&amp;ClsID=165&amp;ClsTwoID=618&amp;ClsThreeID=196&amp;FUID=3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463</Words>
  <Characters>2643</Characters>
  <Application>Microsoft Office Word</Application>
  <DocSecurity>0</DocSecurity>
  <Lines>22</Lines>
  <Paragraphs>6</Paragraphs>
  <ScaleCrop>false</ScaleCrop>
  <Company>高雄市環保局</Company>
  <LinksUpToDate>false</LinksUpToDate>
  <CharactersWithSpaces>3100</CharactersWithSpaces>
  <SharedDoc>false</SharedDoc>
  <HLinks>
    <vt:vector size="6" baseType="variant">
      <vt:variant>
        <vt:i4>5374030</vt:i4>
      </vt:variant>
      <vt:variant>
        <vt:i4>0</vt:i4>
      </vt:variant>
      <vt:variant>
        <vt:i4>0</vt:i4>
      </vt:variant>
      <vt:variant>
        <vt:i4>5</vt:i4>
      </vt:variant>
      <vt:variant>
        <vt:lpwstr>http://www.kinmen.gov.tw/Layout/sub_D/Download_DownloadPage.aspx?path=14907&amp;Language=1&amp;UID=33&amp;ClsID=165&amp;ClsTwoID=618&amp;ClsThreeID=196&amp;FUID=33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第三科</dc:creator>
  <cp:lastModifiedBy>黃紫貞</cp:lastModifiedBy>
  <cp:revision>33</cp:revision>
  <cp:lastPrinted>2008-06-11T03:40:00Z</cp:lastPrinted>
  <dcterms:created xsi:type="dcterms:W3CDTF">2017-11-14T02:09:00Z</dcterms:created>
  <dcterms:modified xsi:type="dcterms:W3CDTF">2019-11-22T02:39:00Z</dcterms:modified>
</cp:coreProperties>
</file>