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AD5" w:rsidRDefault="00863450">
      <w:pPr>
        <w:spacing w:line="360" w:lineRule="exact"/>
        <w:jc w:val="center"/>
        <w:rPr>
          <w:rFonts w:ascii="標楷體" w:hAnsi="標楷體"/>
          <w:spacing w:val="-4"/>
          <w:sz w:val="28"/>
        </w:rPr>
      </w:pPr>
      <w:r>
        <w:rPr>
          <w:rFonts w:ascii="標楷體" w:hAnsi="標楷體"/>
          <w:spacing w:val="-4"/>
          <w:sz w:val="28"/>
        </w:rPr>
        <w:t>統計資料背景說明</w:t>
      </w:r>
    </w:p>
    <w:p w:rsidR="00BA4AD5" w:rsidRDefault="00863450">
      <w:pPr>
        <w:spacing w:line="360" w:lineRule="exact"/>
        <w:rPr>
          <w:rFonts w:ascii="標楷體" w:hAnsi="標楷體"/>
          <w:spacing w:val="-4"/>
          <w:sz w:val="28"/>
        </w:rPr>
      </w:pPr>
      <w:r>
        <w:rPr>
          <w:rFonts w:ascii="標楷體" w:hAnsi="標楷體"/>
          <w:spacing w:val="-4"/>
          <w:sz w:val="28"/>
        </w:rPr>
        <w:t>資料種類：廢棄物管理</w:t>
      </w:r>
    </w:p>
    <w:p w:rsidR="00BA4AD5" w:rsidRDefault="00863450">
      <w:pPr>
        <w:spacing w:line="360" w:lineRule="exact"/>
      </w:pPr>
      <w:r>
        <w:rPr>
          <w:rFonts w:ascii="標楷體" w:hAnsi="標楷體"/>
          <w:spacing w:val="-4"/>
          <w:sz w:val="28"/>
        </w:rPr>
        <w:t>資料項目：</w:t>
      </w:r>
      <w:r>
        <w:rPr>
          <w:rFonts w:ascii="標楷體" w:hAnsi="標楷體"/>
          <w:spacing w:val="-4"/>
          <w:sz w:val="28"/>
          <w:szCs w:val="28"/>
        </w:rPr>
        <w:t>金門縣</w:t>
      </w:r>
      <w:r>
        <w:rPr>
          <w:rFonts w:ascii="標楷體" w:hAnsi="標楷體"/>
          <w:spacing w:val="-4"/>
          <w:sz w:val="28"/>
        </w:rPr>
        <w:t>廢機動車輛認定及移置統計</w:t>
      </w:r>
      <w:proofErr w:type="gramStart"/>
      <w:r>
        <w:rPr>
          <w:rFonts w:ascii="標楷體" w:hAnsi="標楷體"/>
          <w:bCs/>
          <w:sz w:val="28"/>
        </w:rPr>
        <w:t>（</w:t>
      </w:r>
      <w:proofErr w:type="gramEnd"/>
      <w:r>
        <w:rPr>
          <w:rFonts w:ascii="標楷體" w:hAnsi="標楷體"/>
          <w:bCs/>
          <w:sz w:val="28"/>
        </w:rPr>
        <w:t>表號：1135-01-04-2</w:t>
      </w:r>
      <w:proofErr w:type="gramStart"/>
      <w:r>
        <w:rPr>
          <w:rFonts w:ascii="標楷體" w:hAnsi="標楷體"/>
          <w:bCs/>
          <w:sz w:val="28"/>
        </w:rPr>
        <w:t>）</w:t>
      </w:r>
      <w:proofErr w:type="gramEnd"/>
    </w:p>
    <w:p w:rsidR="00BA4AD5" w:rsidRDefault="00863450">
      <w:pPr>
        <w:numPr>
          <w:ilvl w:val="0"/>
          <w:numId w:val="1"/>
        </w:numPr>
        <w:spacing w:line="360" w:lineRule="exact"/>
        <w:jc w:val="both"/>
        <w:rPr>
          <w:rFonts w:ascii="標楷體" w:hAnsi="標楷體"/>
          <w:sz w:val="28"/>
        </w:rPr>
      </w:pPr>
      <w:r>
        <w:rPr>
          <w:rFonts w:ascii="標楷體" w:hAnsi="標楷體"/>
          <w:sz w:val="28"/>
        </w:rPr>
        <w:t>發布及編製機關單位</w:t>
      </w:r>
    </w:p>
    <w:p w:rsidR="00BA4AD5" w:rsidRDefault="00863450">
      <w:pPr>
        <w:spacing w:line="360" w:lineRule="exact"/>
        <w:ind w:left="720" w:hanging="426"/>
        <w:jc w:val="both"/>
      </w:pPr>
      <w:proofErr w:type="gramStart"/>
      <w:r>
        <w:rPr>
          <w:rFonts w:ascii="標楷體" w:hAnsi="標楷體"/>
          <w:spacing w:val="-4"/>
          <w:sz w:val="28"/>
        </w:rPr>
        <w:t>＊</w:t>
      </w:r>
      <w:proofErr w:type="gramEnd"/>
      <w:r>
        <w:rPr>
          <w:rFonts w:ascii="標楷體" w:hAnsi="標楷體"/>
          <w:spacing w:val="-4"/>
          <w:sz w:val="28"/>
        </w:rPr>
        <w:t>發布機關、單位：</w:t>
      </w:r>
      <w:r>
        <w:rPr>
          <w:rFonts w:ascii="標楷體" w:hAnsi="標楷體"/>
          <w:spacing w:val="-4"/>
          <w:sz w:val="28"/>
          <w:szCs w:val="28"/>
        </w:rPr>
        <w:t>金門縣環境保護局會計室</w:t>
      </w:r>
    </w:p>
    <w:p w:rsidR="00BA4AD5" w:rsidRDefault="00863450">
      <w:pPr>
        <w:spacing w:line="360" w:lineRule="exact"/>
        <w:ind w:left="720" w:hanging="426"/>
        <w:jc w:val="both"/>
      </w:pPr>
      <w:proofErr w:type="gramStart"/>
      <w:r>
        <w:rPr>
          <w:rFonts w:ascii="標楷體" w:hAnsi="標楷體"/>
          <w:sz w:val="28"/>
        </w:rPr>
        <w:t>＊</w:t>
      </w:r>
      <w:proofErr w:type="gramEnd"/>
      <w:r>
        <w:rPr>
          <w:rFonts w:ascii="標楷體" w:hAnsi="標楷體"/>
          <w:sz w:val="28"/>
        </w:rPr>
        <w:t>編製單位：</w:t>
      </w:r>
      <w:r>
        <w:rPr>
          <w:rFonts w:ascii="標楷體" w:hAnsi="標楷體"/>
          <w:spacing w:val="-4"/>
          <w:sz w:val="28"/>
          <w:szCs w:val="28"/>
        </w:rPr>
        <w:t>金門縣</w:t>
      </w:r>
      <w:proofErr w:type="gramStart"/>
      <w:r>
        <w:rPr>
          <w:rFonts w:ascii="標楷體" w:hAnsi="標楷體"/>
          <w:sz w:val="28"/>
        </w:rPr>
        <w:t>環境保護局廢管</w:t>
      </w:r>
      <w:proofErr w:type="gramEnd"/>
      <w:r>
        <w:rPr>
          <w:rFonts w:ascii="標楷體" w:hAnsi="標楷體"/>
          <w:sz w:val="28"/>
        </w:rPr>
        <w:t>科</w:t>
      </w:r>
    </w:p>
    <w:p w:rsidR="00BA4AD5" w:rsidRDefault="00863450">
      <w:pPr>
        <w:spacing w:line="360" w:lineRule="exact"/>
        <w:ind w:left="720" w:hanging="426"/>
        <w:jc w:val="both"/>
      </w:pPr>
      <w:proofErr w:type="gramStart"/>
      <w:r>
        <w:rPr>
          <w:rFonts w:ascii="標楷體" w:hAnsi="標楷體"/>
          <w:sz w:val="28"/>
        </w:rPr>
        <w:t>＊</w:t>
      </w:r>
      <w:proofErr w:type="gramEnd"/>
      <w:r>
        <w:rPr>
          <w:rFonts w:ascii="標楷體" w:hAnsi="標楷體"/>
          <w:sz w:val="28"/>
        </w:rPr>
        <w:t>聯 絡 人：</w:t>
      </w:r>
      <w:r>
        <w:rPr>
          <w:rFonts w:ascii="標楷體" w:hAnsi="標楷體"/>
          <w:sz w:val="24"/>
        </w:rPr>
        <w:t>鄭孟郎</w:t>
      </w:r>
    </w:p>
    <w:p w:rsidR="00BA4AD5" w:rsidRDefault="00863450">
      <w:pPr>
        <w:spacing w:line="360" w:lineRule="exact"/>
        <w:ind w:left="720" w:hanging="426"/>
        <w:jc w:val="both"/>
      </w:pPr>
      <w:proofErr w:type="gramStart"/>
      <w:r>
        <w:rPr>
          <w:rFonts w:ascii="標楷體" w:hAnsi="標楷體"/>
          <w:sz w:val="28"/>
        </w:rPr>
        <w:t>＊</w:t>
      </w:r>
      <w:proofErr w:type="gramEnd"/>
      <w:r>
        <w:rPr>
          <w:rFonts w:ascii="標楷體" w:hAnsi="標楷體"/>
          <w:sz w:val="28"/>
        </w:rPr>
        <w:t>聯絡電話：</w:t>
      </w:r>
      <w:r>
        <w:rPr>
          <w:rFonts w:ascii="標楷體" w:hAnsi="標楷體"/>
          <w:sz w:val="24"/>
        </w:rPr>
        <w:t>082-336823#803</w:t>
      </w:r>
    </w:p>
    <w:p w:rsidR="00BA4AD5" w:rsidRDefault="00863450">
      <w:pPr>
        <w:spacing w:line="360" w:lineRule="exact"/>
        <w:ind w:left="720" w:hanging="426"/>
        <w:jc w:val="both"/>
      </w:pPr>
      <w:proofErr w:type="gramStart"/>
      <w:r>
        <w:rPr>
          <w:rFonts w:ascii="標楷體" w:hAnsi="標楷體"/>
          <w:sz w:val="28"/>
          <w:szCs w:val="28"/>
        </w:rPr>
        <w:t>＊</w:t>
      </w:r>
      <w:proofErr w:type="gramEnd"/>
      <w:r>
        <w:rPr>
          <w:rFonts w:ascii="標楷體" w:hAnsi="標楷體"/>
          <w:sz w:val="28"/>
          <w:szCs w:val="28"/>
        </w:rPr>
        <w:t>傳真：</w:t>
      </w:r>
      <w:r>
        <w:rPr>
          <w:rFonts w:ascii="標楷體" w:hAnsi="標楷體"/>
          <w:sz w:val="24"/>
        </w:rPr>
        <w:t>082-336048</w:t>
      </w:r>
    </w:p>
    <w:p w:rsidR="00BA4AD5" w:rsidRDefault="00863450">
      <w:pPr>
        <w:spacing w:line="320" w:lineRule="exact"/>
        <w:ind w:left="720" w:hanging="426"/>
        <w:jc w:val="both"/>
      </w:pPr>
      <w:proofErr w:type="gramStart"/>
      <w:r>
        <w:rPr>
          <w:rFonts w:ascii="標楷體" w:hAnsi="標楷體"/>
          <w:sz w:val="28"/>
        </w:rPr>
        <w:t>＊</w:t>
      </w:r>
      <w:proofErr w:type="gramEnd"/>
      <w:r>
        <w:rPr>
          <w:rFonts w:ascii="標楷體" w:hAnsi="標楷體"/>
          <w:sz w:val="28"/>
        </w:rPr>
        <w:t>電子信箱：</w:t>
      </w:r>
      <w:r>
        <w:rPr>
          <w:rFonts w:ascii="標楷體" w:hAnsi="標楷體"/>
          <w:sz w:val="24"/>
        </w:rPr>
        <w:t>jmL@kepb.gov.tw</w:t>
      </w:r>
    </w:p>
    <w:p w:rsidR="00BA4AD5" w:rsidRDefault="00863450">
      <w:pPr>
        <w:spacing w:line="360" w:lineRule="exact"/>
        <w:ind w:left="540" w:hanging="540"/>
        <w:jc w:val="both"/>
        <w:rPr>
          <w:rFonts w:ascii="標楷體" w:hAnsi="標楷體"/>
          <w:sz w:val="28"/>
        </w:rPr>
      </w:pPr>
      <w:r>
        <w:rPr>
          <w:rFonts w:ascii="標楷體" w:hAnsi="標楷體"/>
          <w:sz w:val="28"/>
        </w:rPr>
        <w:t>二、發布形式</w:t>
      </w:r>
    </w:p>
    <w:p w:rsidR="00BA4AD5" w:rsidRDefault="00863450">
      <w:pPr>
        <w:numPr>
          <w:ilvl w:val="0"/>
          <w:numId w:val="2"/>
        </w:numPr>
        <w:spacing w:line="360" w:lineRule="exact"/>
        <w:jc w:val="both"/>
        <w:rPr>
          <w:rFonts w:ascii="標楷體" w:hAnsi="標楷體"/>
          <w:sz w:val="28"/>
        </w:rPr>
      </w:pPr>
      <w:r>
        <w:rPr>
          <w:rFonts w:ascii="標楷體" w:hAnsi="標楷體"/>
          <w:sz w:val="28"/>
        </w:rPr>
        <w:t>口頭：</w:t>
      </w:r>
    </w:p>
    <w:p w:rsidR="00BA4AD5" w:rsidRDefault="00863450">
      <w:pPr>
        <w:spacing w:line="360" w:lineRule="exact"/>
        <w:jc w:val="both"/>
        <w:rPr>
          <w:rFonts w:ascii="標楷體" w:hAnsi="標楷體"/>
          <w:sz w:val="28"/>
        </w:rPr>
      </w:pPr>
      <w:r>
        <w:rPr>
          <w:rFonts w:ascii="標楷體" w:hAnsi="標楷體"/>
          <w:sz w:val="28"/>
        </w:rPr>
        <w:t xml:space="preserve">         （ ）記者會或說明會</w:t>
      </w:r>
    </w:p>
    <w:p w:rsidR="00BA4AD5" w:rsidRDefault="00863450">
      <w:pPr>
        <w:numPr>
          <w:ilvl w:val="0"/>
          <w:numId w:val="3"/>
        </w:numPr>
        <w:spacing w:line="360" w:lineRule="exact"/>
        <w:jc w:val="both"/>
        <w:rPr>
          <w:rFonts w:ascii="標楷體" w:hAnsi="標楷體"/>
          <w:sz w:val="28"/>
        </w:rPr>
      </w:pPr>
      <w:r>
        <w:rPr>
          <w:rFonts w:ascii="標楷體" w:hAnsi="標楷體"/>
          <w:sz w:val="28"/>
        </w:rPr>
        <w:t>書面：</w:t>
      </w:r>
    </w:p>
    <w:p w:rsidR="00BA4AD5" w:rsidRDefault="00863450">
      <w:pPr>
        <w:spacing w:line="360" w:lineRule="exact"/>
        <w:ind w:left="294"/>
        <w:jc w:val="both"/>
      </w:pPr>
      <w:r>
        <w:rPr>
          <w:rFonts w:ascii="標楷體" w:hAnsi="標楷體"/>
          <w:sz w:val="28"/>
        </w:rPr>
        <w:t xml:space="preserve">       （ ）新聞稿   （</w:t>
      </w:r>
      <w:r>
        <w:rPr>
          <w:rFonts w:ascii="Symbol" w:eastAsia="Symbol" w:hAnsi="Symbol" w:cs="Symbol"/>
          <w:sz w:val="28"/>
        </w:rPr>
        <w:t></w:t>
      </w:r>
      <w:r>
        <w:rPr>
          <w:rFonts w:ascii="標楷體" w:hAnsi="標楷體"/>
          <w:sz w:val="28"/>
        </w:rPr>
        <w:t>）報表  （ ）書刊，刊名：</w:t>
      </w:r>
    </w:p>
    <w:p w:rsidR="00BA4AD5" w:rsidRDefault="00863450">
      <w:pPr>
        <w:spacing w:line="360" w:lineRule="exact"/>
        <w:ind w:left="294"/>
        <w:jc w:val="both"/>
        <w:rPr>
          <w:rFonts w:ascii="標楷體" w:hAnsi="標楷體"/>
          <w:sz w:val="28"/>
        </w:rPr>
      </w:pPr>
      <w:proofErr w:type="gramStart"/>
      <w:r>
        <w:rPr>
          <w:rFonts w:ascii="標楷體" w:hAnsi="標楷體"/>
          <w:sz w:val="28"/>
        </w:rPr>
        <w:t>＊</w:t>
      </w:r>
      <w:proofErr w:type="gramEnd"/>
      <w:r>
        <w:rPr>
          <w:rFonts w:ascii="標楷體" w:hAnsi="標楷體"/>
          <w:sz w:val="28"/>
        </w:rPr>
        <w:t>電子媒體：</w:t>
      </w:r>
    </w:p>
    <w:p w:rsidR="00BA4AD5" w:rsidRDefault="00863450">
      <w:pPr>
        <w:spacing w:line="360" w:lineRule="exact"/>
        <w:ind w:left="966" w:right="-328" w:hanging="294"/>
        <w:jc w:val="both"/>
      </w:pPr>
      <w:r>
        <w:rPr>
          <w:sz w:val="28"/>
        </w:rPr>
        <w:t>（</w:t>
      </w:r>
      <w:proofErr w:type="gramStart"/>
      <w:r>
        <w:rPr>
          <w:rFonts w:ascii="標楷體" w:hAnsi="標楷體"/>
          <w:sz w:val="28"/>
        </w:rPr>
        <w:t>ˇ</w:t>
      </w:r>
      <w:proofErr w:type="gramEnd"/>
      <w:r>
        <w:rPr>
          <w:sz w:val="28"/>
        </w:rPr>
        <w:t>）</w:t>
      </w:r>
      <w:proofErr w:type="gramStart"/>
      <w:r>
        <w:rPr>
          <w:sz w:val="28"/>
        </w:rPr>
        <w:t>線上書刊</w:t>
      </w:r>
      <w:proofErr w:type="gramEnd"/>
      <w:r>
        <w:rPr>
          <w:sz w:val="28"/>
        </w:rPr>
        <w:t>及資料庫，網址：</w:t>
      </w:r>
      <w:hyperlink r:id="rId8" w:history="1">
        <w:r>
          <w:rPr>
            <w:color w:val="0000FF"/>
            <w:sz w:val="28"/>
            <w:u w:val="single"/>
          </w:rPr>
          <w:t>http://www.kepb.gov.tw</w:t>
        </w:r>
      </w:hyperlink>
    </w:p>
    <w:p w:rsidR="00BA4AD5" w:rsidRDefault="00863450">
      <w:pPr>
        <w:spacing w:line="360" w:lineRule="exact"/>
        <w:ind w:left="966" w:right="-328" w:hanging="294"/>
        <w:jc w:val="both"/>
        <w:rPr>
          <w:rFonts w:ascii="標楷體" w:hAnsi="標楷體"/>
          <w:sz w:val="28"/>
        </w:rPr>
      </w:pPr>
      <w:r>
        <w:rPr>
          <w:rFonts w:ascii="標楷體" w:hAnsi="標楷體"/>
          <w:sz w:val="28"/>
        </w:rPr>
        <w:t>（ ）磁片   （ ）光碟片  （ ）其他</w:t>
      </w:r>
    </w:p>
    <w:p w:rsidR="00BA4AD5" w:rsidRDefault="00863450">
      <w:pPr>
        <w:spacing w:before="240" w:line="360" w:lineRule="exact"/>
        <w:ind w:left="616" w:hanging="616"/>
        <w:jc w:val="both"/>
        <w:rPr>
          <w:rFonts w:ascii="標楷體" w:hAnsi="標楷體"/>
          <w:sz w:val="28"/>
        </w:rPr>
      </w:pPr>
      <w:r>
        <w:rPr>
          <w:rFonts w:ascii="標楷體" w:hAnsi="標楷體"/>
          <w:sz w:val="28"/>
        </w:rPr>
        <w:t>三、資料範圍、週期及時效</w:t>
      </w:r>
    </w:p>
    <w:p w:rsidR="00BA4AD5" w:rsidRDefault="00863450">
      <w:pPr>
        <w:pStyle w:val="a3"/>
        <w:ind w:left="3400" w:hanging="3080"/>
        <w:rPr>
          <w:sz w:val="28"/>
        </w:rPr>
      </w:pPr>
      <w:proofErr w:type="gramStart"/>
      <w:r>
        <w:rPr>
          <w:sz w:val="28"/>
        </w:rPr>
        <w:t>＊</w:t>
      </w:r>
      <w:proofErr w:type="gramEnd"/>
      <w:r>
        <w:rPr>
          <w:sz w:val="28"/>
        </w:rPr>
        <w:t>統計地區範圍及對象：</w:t>
      </w:r>
      <w:proofErr w:type="gramStart"/>
      <w:r>
        <w:rPr>
          <w:sz w:val="28"/>
        </w:rPr>
        <w:t>本縣廢機動車輛</w:t>
      </w:r>
      <w:proofErr w:type="gramEnd"/>
      <w:r>
        <w:rPr>
          <w:sz w:val="28"/>
        </w:rPr>
        <w:t>查報、認定、移置及</w:t>
      </w:r>
      <w:proofErr w:type="gramStart"/>
      <w:r>
        <w:rPr>
          <w:sz w:val="28"/>
        </w:rPr>
        <w:t>貯存均為</w:t>
      </w:r>
      <w:proofErr w:type="gramEnd"/>
      <w:r>
        <w:rPr>
          <w:sz w:val="28"/>
        </w:rPr>
        <w:t xml:space="preserve">      統計對象。</w:t>
      </w:r>
    </w:p>
    <w:p w:rsidR="00BA4AD5" w:rsidRDefault="00863450">
      <w:pPr>
        <w:tabs>
          <w:tab w:val="left" w:pos="10560"/>
          <w:tab w:val="left" w:pos="11520"/>
          <w:tab w:val="left" w:pos="12480"/>
          <w:tab w:val="left" w:pos="13440"/>
        </w:tabs>
        <w:autoSpaceDE w:val="0"/>
        <w:spacing w:line="360" w:lineRule="exact"/>
        <w:ind w:left="2550" w:right="74" w:hanging="2934"/>
        <w:rPr>
          <w:rFonts w:ascii="標楷體" w:hAnsi="標楷體"/>
          <w:sz w:val="28"/>
        </w:rPr>
      </w:pPr>
      <w:r>
        <w:rPr>
          <w:rFonts w:ascii="標楷體" w:hAnsi="標楷體"/>
          <w:sz w:val="28"/>
        </w:rPr>
        <w:t xml:space="preserve">     </w:t>
      </w:r>
      <w:proofErr w:type="gramStart"/>
      <w:r>
        <w:rPr>
          <w:rFonts w:ascii="標楷體" w:hAnsi="標楷體"/>
          <w:sz w:val="28"/>
        </w:rPr>
        <w:t>＊</w:t>
      </w:r>
      <w:proofErr w:type="gramEnd"/>
      <w:r>
        <w:rPr>
          <w:rFonts w:ascii="標楷體" w:hAnsi="標楷體"/>
          <w:sz w:val="28"/>
        </w:rPr>
        <w:t>統計標準時間：靜態資料以每月底之事實為</w:t>
      </w:r>
      <w:proofErr w:type="gramStart"/>
      <w:r>
        <w:rPr>
          <w:rFonts w:ascii="標楷體" w:hAnsi="標楷體"/>
          <w:sz w:val="28"/>
        </w:rPr>
        <w:t>準</w:t>
      </w:r>
      <w:proofErr w:type="gramEnd"/>
      <w:r>
        <w:rPr>
          <w:rFonts w:ascii="標楷體" w:hAnsi="標楷體"/>
          <w:sz w:val="28"/>
        </w:rPr>
        <w:t>，動態資料以每月一日至月底之事實為</w:t>
      </w:r>
      <w:proofErr w:type="gramStart"/>
      <w:r>
        <w:rPr>
          <w:rFonts w:ascii="標楷體" w:hAnsi="標楷體"/>
          <w:sz w:val="28"/>
        </w:rPr>
        <w:t>準</w:t>
      </w:r>
      <w:proofErr w:type="gramEnd"/>
      <w:r>
        <w:rPr>
          <w:rFonts w:ascii="標楷體" w:hAnsi="標楷體"/>
          <w:sz w:val="28"/>
        </w:rPr>
        <w:t>。</w:t>
      </w:r>
    </w:p>
    <w:p w:rsidR="00BA4AD5" w:rsidRDefault="00863450">
      <w:pPr>
        <w:numPr>
          <w:ilvl w:val="0"/>
          <w:numId w:val="3"/>
        </w:numPr>
        <w:tabs>
          <w:tab w:val="left" w:pos="579"/>
          <w:tab w:val="left" w:pos="10560"/>
          <w:tab w:val="left" w:pos="11520"/>
          <w:tab w:val="left" w:pos="12480"/>
          <w:tab w:val="left" w:pos="13440"/>
        </w:tabs>
        <w:autoSpaceDE w:val="0"/>
        <w:ind w:left="3062" w:right="74" w:hanging="2835"/>
        <w:rPr>
          <w:rFonts w:ascii="標楷體" w:hAnsi="標楷體"/>
          <w:sz w:val="28"/>
        </w:rPr>
      </w:pPr>
      <w:r>
        <w:rPr>
          <w:rFonts w:ascii="標楷體" w:hAnsi="標楷體"/>
          <w:sz w:val="28"/>
        </w:rPr>
        <w:t>統計項目定義：</w:t>
      </w:r>
    </w:p>
    <w:p w:rsidR="00BA4AD5" w:rsidRDefault="00863450">
      <w:pPr>
        <w:snapToGrid w:val="0"/>
        <w:spacing w:line="240" w:lineRule="atLeast"/>
        <w:ind w:left="1480" w:hanging="840"/>
        <w:rPr>
          <w:rFonts w:ascii="標楷體" w:hAnsi="標楷體"/>
          <w:sz w:val="28"/>
        </w:rPr>
      </w:pPr>
      <w:r>
        <w:rPr>
          <w:rFonts w:ascii="標楷體" w:hAnsi="標楷體"/>
          <w:sz w:val="28"/>
        </w:rPr>
        <w:t>（一）機動車輛：指在道路上以原動力行駛之汽車（包括客車、貨車、代用客車、特種車）及機器腳踏車（簡稱機車）。</w:t>
      </w:r>
    </w:p>
    <w:p w:rsidR="00BA4AD5" w:rsidRDefault="00863450">
      <w:pPr>
        <w:pStyle w:val="2"/>
        <w:ind w:left="1480" w:hanging="840"/>
        <w:rPr>
          <w:sz w:val="28"/>
        </w:rPr>
      </w:pPr>
      <w:r>
        <w:rPr>
          <w:sz w:val="28"/>
        </w:rPr>
        <w:t>（二）廢機動車輛：占用道路機動車輛有下列情形之</w:t>
      </w:r>
      <w:proofErr w:type="gramStart"/>
      <w:r>
        <w:rPr>
          <w:sz w:val="28"/>
        </w:rPr>
        <w:t>一</w:t>
      </w:r>
      <w:proofErr w:type="gramEnd"/>
      <w:r>
        <w:rPr>
          <w:sz w:val="28"/>
        </w:rPr>
        <w:t>者，認定為廢機動車輛：</w:t>
      </w:r>
    </w:p>
    <w:p w:rsidR="00BA4AD5" w:rsidRDefault="00863450">
      <w:pPr>
        <w:numPr>
          <w:ilvl w:val="2"/>
          <w:numId w:val="4"/>
        </w:numPr>
        <w:tabs>
          <w:tab w:val="left" w:pos="1320"/>
        </w:tabs>
        <w:snapToGrid w:val="0"/>
        <w:spacing w:line="240" w:lineRule="atLeast"/>
        <w:ind w:left="1775" w:hanging="357"/>
        <w:rPr>
          <w:rFonts w:ascii="標楷體" w:hAnsi="標楷體"/>
          <w:sz w:val="28"/>
        </w:rPr>
      </w:pPr>
      <w:r>
        <w:rPr>
          <w:rFonts w:ascii="標楷體" w:hAnsi="標楷體"/>
          <w:sz w:val="28"/>
        </w:rPr>
        <w:t>經所有人或其他代理人書面放棄之車輛。</w:t>
      </w:r>
    </w:p>
    <w:p w:rsidR="00BA4AD5" w:rsidRDefault="00863450">
      <w:pPr>
        <w:numPr>
          <w:ilvl w:val="2"/>
          <w:numId w:val="4"/>
        </w:numPr>
        <w:tabs>
          <w:tab w:val="left" w:pos="1320"/>
        </w:tabs>
        <w:snapToGrid w:val="0"/>
        <w:spacing w:line="240" w:lineRule="atLeast"/>
        <w:ind w:left="1775" w:hanging="357"/>
        <w:rPr>
          <w:rFonts w:ascii="標楷體" w:hAnsi="標楷體"/>
          <w:sz w:val="28"/>
        </w:rPr>
      </w:pPr>
      <w:r>
        <w:rPr>
          <w:rFonts w:ascii="標楷體" w:hAnsi="標楷體"/>
          <w:sz w:val="28"/>
        </w:rPr>
        <w:t>車體</w:t>
      </w:r>
      <w:proofErr w:type="gramStart"/>
      <w:r>
        <w:rPr>
          <w:rFonts w:ascii="標楷體" w:hAnsi="標楷體"/>
          <w:sz w:val="28"/>
        </w:rPr>
        <w:t>髒</w:t>
      </w:r>
      <w:proofErr w:type="gramEnd"/>
      <w:r>
        <w:rPr>
          <w:rFonts w:ascii="標楷體" w:hAnsi="標楷體"/>
          <w:sz w:val="28"/>
        </w:rPr>
        <w:t>污、鏽蝕、破損，外觀上明顯失去原效用之車輛。</w:t>
      </w:r>
    </w:p>
    <w:p w:rsidR="00BA4AD5" w:rsidRDefault="00863450">
      <w:pPr>
        <w:numPr>
          <w:ilvl w:val="2"/>
          <w:numId w:val="4"/>
        </w:numPr>
        <w:tabs>
          <w:tab w:val="left" w:pos="1320"/>
        </w:tabs>
        <w:snapToGrid w:val="0"/>
        <w:spacing w:line="240" w:lineRule="atLeast"/>
        <w:ind w:left="1775" w:hanging="357"/>
        <w:rPr>
          <w:rFonts w:ascii="標楷體" w:hAnsi="標楷體"/>
          <w:sz w:val="28"/>
        </w:rPr>
      </w:pPr>
      <w:r>
        <w:rPr>
          <w:rFonts w:ascii="標楷體" w:hAnsi="標楷體"/>
          <w:sz w:val="28"/>
        </w:rPr>
        <w:t>失去原效用之事故車、解體車。</w:t>
      </w:r>
    </w:p>
    <w:p w:rsidR="00BA4AD5" w:rsidRDefault="00863450">
      <w:pPr>
        <w:numPr>
          <w:ilvl w:val="2"/>
          <w:numId w:val="4"/>
        </w:numPr>
        <w:tabs>
          <w:tab w:val="left" w:pos="1320"/>
        </w:tabs>
        <w:snapToGrid w:val="0"/>
        <w:spacing w:line="240" w:lineRule="atLeast"/>
        <w:ind w:left="1775" w:hanging="357"/>
        <w:rPr>
          <w:rFonts w:ascii="標楷體" w:hAnsi="標楷體"/>
          <w:sz w:val="28"/>
        </w:rPr>
      </w:pPr>
      <w:r>
        <w:rPr>
          <w:rFonts w:ascii="標楷體" w:hAnsi="標楷體"/>
          <w:sz w:val="28"/>
        </w:rPr>
        <w:t>其他符合經行政院環境保護署會商相關機關公告認定標準之車輛。</w:t>
      </w:r>
    </w:p>
    <w:p w:rsidR="00BA4AD5" w:rsidRDefault="00863450">
      <w:pPr>
        <w:snapToGrid w:val="0"/>
        <w:spacing w:line="240" w:lineRule="atLeast"/>
        <w:ind w:left="1480" w:hanging="840"/>
      </w:pPr>
      <w:r>
        <w:rPr>
          <w:rFonts w:ascii="標楷體" w:hAnsi="標楷體"/>
          <w:sz w:val="28"/>
        </w:rPr>
        <w:t>（三）除「完成</w:t>
      </w:r>
      <w:proofErr w:type="gramStart"/>
      <w:r>
        <w:rPr>
          <w:rFonts w:ascii="標楷體" w:hAnsi="標楷體"/>
          <w:sz w:val="28"/>
        </w:rPr>
        <w:t>移置數</w:t>
      </w:r>
      <w:proofErr w:type="gramEnd"/>
      <w:r>
        <w:rPr>
          <w:rFonts w:ascii="標楷體" w:hAnsi="標楷體"/>
          <w:sz w:val="28"/>
        </w:rPr>
        <w:t>」之「</w:t>
      </w:r>
      <w:bookmarkStart w:id="0" w:name="OLE_LINK1"/>
      <w:r>
        <w:rPr>
          <w:rFonts w:ascii="標楷體" w:hAnsi="標楷體"/>
          <w:bCs/>
          <w:iCs/>
          <w:sz w:val="28"/>
          <w:szCs w:val="28"/>
        </w:rPr>
        <w:t>清理期限</w:t>
      </w:r>
      <w:bookmarkEnd w:id="0"/>
      <w:r>
        <w:rPr>
          <w:rFonts w:ascii="標楷體" w:hAnsi="標楷體"/>
          <w:sz w:val="28"/>
        </w:rPr>
        <w:t>（本月張貼）」及「</w:t>
      </w:r>
      <w:r>
        <w:rPr>
          <w:rFonts w:ascii="標楷體" w:hAnsi="標楷體"/>
          <w:bCs/>
          <w:iCs/>
          <w:sz w:val="28"/>
          <w:szCs w:val="28"/>
        </w:rPr>
        <w:t>清理期限</w:t>
      </w:r>
      <w:r>
        <w:rPr>
          <w:rFonts w:ascii="標楷體" w:hAnsi="標楷體"/>
          <w:sz w:val="28"/>
        </w:rPr>
        <w:t>內執行，惟無法完成移置（本月張貼）」二項可統計至次月第四</w:t>
      </w:r>
      <w:proofErr w:type="gramStart"/>
      <w:r>
        <w:rPr>
          <w:rFonts w:ascii="標楷體" w:hAnsi="標楷體"/>
          <w:sz w:val="28"/>
        </w:rPr>
        <w:t>個</w:t>
      </w:r>
      <w:proofErr w:type="gramEnd"/>
      <w:r>
        <w:rPr>
          <w:rFonts w:ascii="標楷體" w:hAnsi="標楷體"/>
          <w:sz w:val="28"/>
        </w:rPr>
        <w:t>工作日；貯存數為本月底數量外，其他</w:t>
      </w:r>
      <w:proofErr w:type="gramStart"/>
      <w:r>
        <w:rPr>
          <w:rFonts w:ascii="標楷體" w:hAnsi="標楷體"/>
          <w:sz w:val="28"/>
        </w:rPr>
        <w:t>項目均為本月</w:t>
      </w:r>
      <w:proofErr w:type="gramEnd"/>
      <w:r>
        <w:rPr>
          <w:rFonts w:ascii="標楷體" w:hAnsi="標楷體"/>
          <w:sz w:val="28"/>
        </w:rPr>
        <w:t>一日至月底之數量。</w:t>
      </w:r>
    </w:p>
    <w:p w:rsidR="00BA4AD5" w:rsidRDefault="00863450">
      <w:pPr>
        <w:snapToGrid w:val="0"/>
        <w:spacing w:line="240" w:lineRule="atLeast"/>
        <w:ind w:left="1480" w:hanging="840"/>
        <w:rPr>
          <w:rFonts w:ascii="標楷體" w:hAnsi="標楷體"/>
          <w:sz w:val="28"/>
        </w:rPr>
      </w:pPr>
      <w:r>
        <w:rPr>
          <w:rFonts w:ascii="標楷體" w:hAnsi="標楷體"/>
          <w:sz w:val="28"/>
        </w:rPr>
        <w:t>（四）查（通）報數：指環保單位或警政單位接獲通報、民眾檢舉及</w:t>
      </w:r>
      <w:r>
        <w:rPr>
          <w:rFonts w:ascii="標楷體" w:hAnsi="標楷體"/>
          <w:sz w:val="28"/>
        </w:rPr>
        <w:lastRenderedPageBreak/>
        <w:t>主動稽查之疑似廢機動車輛之數量。</w:t>
      </w:r>
    </w:p>
    <w:p w:rsidR="00BA4AD5" w:rsidRDefault="00863450">
      <w:pPr>
        <w:pStyle w:val="2"/>
        <w:ind w:left="1480" w:hanging="840"/>
        <w:rPr>
          <w:sz w:val="28"/>
        </w:rPr>
      </w:pPr>
      <w:r>
        <w:rPr>
          <w:sz w:val="28"/>
        </w:rPr>
        <w:t>（五）現場查核數：指環保單位或警政單位至疑似廢機動車輛停放現場查核數。</w:t>
      </w:r>
    </w:p>
    <w:p w:rsidR="00BA4AD5" w:rsidRDefault="00863450">
      <w:pPr>
        <w:pStyle w:val="2"/>
        <w:ind w:left="1480" w:hanging="840"/>
        <w:rPr>
          <w:sz w:val="28"/>
        </w:rPr>
      </w:pPr>
      <w:r>
        <w:rPr>
          <w:sz w:val="28"/>
        </w:rPr>
        <w:t>（六）張貼通知數：指疑似廢機動車輛由環保單位或警政單位人員認定並張貼清理通知數。</w:t>
      </w:r>
    </w:p>
    <w:p w:rsidR="00BA4AD5" w:rsidRDefault="00863450">
      <w:pPr>
        <w:pStyle w:val="2"/>
        <w:ind w:left="1480" w:hanging="840"/>
        <w:rPr>
          <w:sz w:val="28"/>
        </w:rPr>
      </w:pPr>
      <w:r>
        <w:rPr>
          <w:sz w:val="28"/>
        </w:rPr>
        <w:t>（七）完成</w:t>
      </w:r>
      <w:proofErr w:type="gramStart"/>
      <w:r>
        <w:rPr>
          <w:sz w:val="28"/>
        </w:rPr>
        <w:t>移置數</w:t>
      </w:r>
      <w:proofErr w:type="gramEnd"/>
      <w:r>
        <w:rPr>
          <w:sz w:val="28"/>
        </w:rPr>
        <w:t>：指疑似廢機動車輛由環保單位或警政單位人員認定並張貼清理通知，清理期限屆滿仍無人清理或認領，由環保單位先行</w:t>
      </w:r>
      <w:proofErr w:type="gramStart"/>
      <w:r>
        <w:rPr>
          <w:sz w:val="28"/>
        </w:rPr>
        <w:t>移置至指定</w:t>
      </w:r>
      <w:proofErr w:type="gramEnd"/>
      <w:r>
        <w:rPr>
          <w:sz w:val="28"/>
        </w:rPr>
        <w:t>場所之數量。</w:t>
      </w:r>
    </w:p>
    <w:p w:rsidR="00BA4AD5" w:rsidRDefault="00863450">
      <w:pPr>
        <w:snapToGrid w:val="0"/>
        <w:spacing w:line="240" w:lineRule="atLeast"/>
        <w:ind w:left="1480" w:hanging="840"/>
      </w:pPr>
      <w:r>
        <w:rPr>
          <w:rFonts w:ascii="標楷體" w:hAnsi="標楷體"/>
          <w:sz w:val="28"/>
        </w:rPr>
        <w:t>（八）</w:t>
      </w:r>
      <w:r>
        <w:rPr>
          <w:rFonts w:ascii="標楷體" w:hAnsi="標楷體"/>
          <w:bCs/>
          <w:iCs/>
          <w:sz w:val="28"/>
          <w:szCs w:val="28"/>
        </w:rPr>
        <w:t>清理期限</w:t>
      </w:r>
      <w:r>
        <w:rPr>
          <w:rFonts w:ascii="標楷體" w:hAnsi="標楷體"/>
          <w:sz w:val="28"/>
        </w:rPr>
        <w:t>內執行，惟無法完成移置：指環保單位因故致無法執行</w:t>
      </w:r>
      <w:proofErr w:type="gramStart"/>
      <w:r>
        <w:rPr>
          <w:rFonts w:ascii="標楷體" w:hAnsi="標楷體"/>
          <w:sz w:val="28"/>
        </w:rPr>
        <w:t>移置廢機動車輛</w:t>
      </w:r>
      <w:proofErr w:type="gramEnd"/>
      <w:r>
        <w:rPr>
          <w:rFonts w:ascii="標楷體" w:hAnsi="標楷體"/>
          <w:sz w:val="28"/>
        </w:rPr>
        <w:t>，原因包括：</w:t>
      </w:r>
    </w:p>
    <w:p w:rsidR="00BA4AD5" w:rsidRDefault="00863450">
      <w:pPr>
        <w:snapToGrid w:val="0"/>
        <w:spacing w:line="240" w:lineRule="atLeast"/>
        <w:ind w:left="1775" w:hanging="357"/>
        <w:rPr>
          <w:rFonts w:ascii="標楷體" w:hAnsi="標楷體"/>
          <w:sz w:val="28"/>
        </w:rPr>
      </w:pPr>
      <w:r>
        <w:rPr>
          <w:rFonts w:ascii="標楷體" w:hAnsi="標楷體"/>
          <w:sz w:val="28"/>
        </w:rPr>
        <w:t>1.偵查中交通事故車輛。</w:t>
      </w:r>
    </w:p>
    <w:p w:rsidR="00BA4AD5" w:rsidRDefault="00863450">
      <w:pPr>
        <w:snapToGrid w:val="0"/>
        <w:spacing w:line="240" w:lineRule="atLeast"/>
        <w:ind w:left="1775" w:hanging="357"/>
        <w:rPr>
          <w:rFonts w:ascii="標楷體" w:hAnsi="標楷體"/>
          <w:sz w:val="28"/>
        </w:rPr>
      </w:pPr>
      <w:r>
        <w:rPr>
          <w:rFonts w:ascii="標楷體" w:hAnsi="標楷體"/>
          <w:sz w:val="28"/>
        </w:rPr>
        <w:t>2.地址或牌照號碼、車體特徵不符。</w:t>
      </w:r>
    </w:p>
    <w:p w:rsidR="00BA4AD5" w:rsidRDefault="00863450">
      <w:pPr>
        <w:snapToGrid w:val="0"/>
        <w:spacing w:line="240" w:lineRule="atLeast"/>
        <w:ind w:left="1775" w:hanging="357"/>
        <w:rPr>
          <w:rFonts w:ascii="標楷體" w:hAnsi="標楷體"/>
          <w:sz w:val="28"/>
        </w:rPr>
      </w:pPr>
      <w:r>
        <w:rPr>
          <w:rFonts w:ascii="標楷體" w:hAnsi="標楷體"/>
          <w:sz w:val="28"/>
        </w:rPr>
        <w:t>3.移置時查無車輛（含遭竊車）。</w:t>
      </w:r>
    </w:p>
    <w:p w:rsidR="00BA4AD5" w:rsidRDefault="00863450">
      <w:pPr>
        <w:tabs>
          <w:tab w:val="left" w:pos="10560"/>
          <w:tab w:val="left" w:pos="11520"/>
          <w:tab w:val="left" w:pos="12480"/>
          <w:tab w:val="left" w:pos="13440"/>
        </w:tabs>
        <w:snapToGrid w:val="0"/>
        <w:spacing w:line="240" w:lineRule="atLeast"/>
        <w:ind w:left="1775" w:hanging="357"/>
        <w:rPr>
          <w:rFonts w:ascii="標楷體" w:hAnsi="標楷體"/>
          <w:sz w:val="28"/>
        </w:rPr>
      </w:pPr>
      <w:r>
        <w:rPr>
          <w:rFonts w:ascii="標楷體" w:hAnsi="標楷體"/>
          <w:sz w:val="28"/>
        </w:rPr>
        <w:t>4.車主自移等。</w:t>
      </w:r>
    </w:p>
    <w:p w:rsidR="00BA4AD5" w:rsidRDefault="00863450">
      <w:pPr>
        <w:pStyle w:val="2"/>
        <w:tabs>
          <w:tab w:val="left" w:pos="10560"/>
          <w:tab w:val="left" w:pos="11520"/>
          <w:tab w:val="left" w:pos="12480"/>
          <w:tab w:val="left" w:pos="13440"/>
        </w:tabs>
        <w:ind w:left="1480" w:hanging="840"/>
      </w:pPr>
      <w:r>
        <w:rPr>
          <w:sz w:val="28"/>
        </w:rPr>
        <w:t>（九）</w:t>
      </w:r>
      <w:r>
        <w:rPr>
          <w:bCs/>
          <w:iCs/>
          <w:sz w:val="28"/>
          <w:szCs w:val="28"/>
        </w:rPr>
        <w:t>清理期限：「清理期限」係依據「占用道路棄車輛認定基準及查報處理辦法第四條」條文規定辦理。</w:t>
      </w:r>
    </w:p>
    <w:p w:rsidR="00BA4AD5" w:rsidRDefault="00863450">
      <w:pPr>
        <w:pStyle w:val="2"/>
        <w:tabs>
          <w:tab w:val="left" w:pos="10560"/>
          <w:tab w:val="left" w:pos="11520"/>
          <w:tab w:val="left" w:pos="12480"/>
          <w:tab w:val="left" w:pos="13440"/>
        </w:tabs>
        <w:ind w:left="1480" w:hanging="840"/>
        <w:rPr>
          <w:sz w:val="28"/>
        </w:rPr>
      </w:pPr>
      <w:r>
        <w:rPr>
          <w:sz w:val="28"/>
        </w:rPr>
        <w:t>（十）本月底貯存數：指環保單位移置於指定場所之疑似廢機動車輛至本月底仍未處理之數量。</w:t>
      </w:r>
    </w:p>
    <w:p w:rsidR="00BA4AD5" w:rsidRDefault="00863450">
      <w:pPr>
        <w:spacing w:line="360" w:lineRule="exact"/>
        <w:ind w:left="720" w:hanging="426"/>
        <w:jc w:val="both"/>
      </w:pPr>
      <w:proofErr w:type="gramStart"/>
      <w:r>
        <w:rPr>
          <w:rFonts w:ascii="標楷體" w:hAnsi="標楷體"/>
          <w:sz w:val="28"/>
        </w:rPr>
        <w:t>＊</w:t>
      </w:r>
      <w:proofErr w:type="gramEnd"/>
      <w:r>
        <w:rPr>
          <w:rFonts w:ascii="標楷體" w:hAnsi="標楷體"/>
          <w:sz w:val="28"/>
        </w:rPr>
        <w:t>統計單位：</w:t>
      </w:r>
      <w:r>
        <w:rPr>
          <w:rFonts w:ascii="標楷體" w:hAnsi="標楷體"/>
          <w:spacing w:val="-4"/>
          <w:sz w:val="28"/>
          <w:szCs w:val="28"/>
        </w:rPr>
        <w:t>金門縣</w:t>
      </w:r>
      <w:r>
        <w:rPr>
          <w:rFonts w:ascii="標楷體" w:hAnsi="標楷體"/>
          <w:sz w:val="28"/>
        </w:rPr>
        <w:t>環境保護局廢棄物規劃科</w:t>
      </w:r>
    </w:p>
    <w:p w:rsidR="00BA4AD5" w:rsidRDefault="00863450">
      <w:pPr>
        <w:tabs>
          <w:tab w:val="left" w:pos="10560"/>
          <w:tab w:val="left" w:pos="11520"/>
          <w:tab w:val="left" w:pos="12480"/>
          <w:tab w:val="left" w:pos="13440"/>
        </w:tabs>
        <w:autoSpaceDE w:val="0"/>
        <w:ind w:left="2420" w:right="71" w:hanging="2100"/>
        <w:rPr>
          <w:rFonts w:ascii="標楷體" w:hAnsi="標楷體"/>
          <w:sz w:val="28"/>
        </w:rPr>
      </w:pPr>
      <w:proofErr w:type="gramStart"/>
      <w:r>
        <w:rPr>
          <w:rFonts w:ascii="標楷體" w:hAnsi="標楷體"/>
          <w:sz w:val="28"/>
        </w:rPr>
        <w:t>＊</w:t>
      </w:r>
      <w:proofErr w:type="gramEnd"/>
      <w:r>
        <w:rPr>
          <w:rFonts w:ascii="標楷體" w:hAnsi="標楷體"/>
          <w:sz w:val="28"/>
        </w:rPr>
        <w:t>統計分類：依據表內容分類</w:t>
      </w:r>
    </w:p>
    <w:p w:rsidR="00BA4AD5" w:rsidRDefault="00863450">
      <w:pPr>
        <w:spacing w:line="360" w:lineRule="exact"/>
        <w:ind w:firstLine="280"/>
        <w:jc w:val="both"/>
        <w:rPr>
          <w:rFonts w:ascii="標楷體" w:hAnsi="標楷體"/>
          <w:sz w:val="28"/>
        </w:rPr>
      </w:pPr>
      <w:proofErr w:type="gramStart"/>
      <w:r>
        <w:rPr>
          <w:rFonts w:ascii="標楷體" w:hAnsi="標楷體"/>
          <w:sz w:val="28"/>
        </w:rPr>
        <w:t>＊</w:t>
      </w:r>
      <w:proofErr w:type="gramEnd"/>
      <w:r>
        <w:rPr>
          <w:rFonts w:ascii="標楷體" w:hAnsi="標楷體"/>
          <w:sz w:val="28"/>
        </w:rPr>
        <w:t>發布週期（指資料編製或產生之頻率，如月、季、年等）：月。</w:t>
      </w:r>
    </w:p>
    <w:p w:rsidR="00BA4AD5" w:rsidRDefault="00863450">
      <w:pPr>
        <w:spacing w:line="360" w:lineRule="exact"/>
        <w:ind w:firstLine="280"/>
        <w:jc w:val="both"/>
        <w:rPr>
          <w:rFonts w:ascii="標楷體" w:hAnsi="標楷體"/>
          <w:sz w:val="28"/>
        </w:rPr>
      </w:pPr>
      <w:proofErr w:type="gramStart"/>
      <w:r>
        <w:rPr>
          <w:rFonts w:ascii="標楷體" w:hAnsi="標楷體"/>
          <w:sz w:val="28"/>
        </w:rPr>
        <w:t>＊</w:t>
      </w:r>
      <w:proofErr w:type="gramEnd"/>
      <w:r>
        <w:rPr>
          <w:rFonts w:ascii="標楷體" w:hAnsi="標楷體"/>
          <w:sz w:val="28"/>
        </w:rPr>
        <w:t>時效（指統計標準時間至資料發布時間之間隔時間）：20日</w:t>
      </w:r>
    </w:p>
    <w:p w:rsidR="00BA4AD5" w:rsidRDefault="00863450">
      <w:pPr>
        <w:spacing w:line="340" w:lineRule="exact"/>
        <w:ind w:firstLine="280"/>
        <w:jc w:val="both"/>
      </w:pPr>
      <w:r>
        <w:rPr>
          <w:rFonts w:ascii="標楷體" w:hAnsi="標楷體"/>
          <w:sz w:val="28"/>
        </w:rPr>
        <w:t>＊資料變革：</w:t>
      </w:r>
      <w:r w:rsidR="00B42008">
        <w:rPr>
          <w:rFonts w:ascii="標楷體" w:hAnsi="標楷體" w:hint="eastAsia"/>
          <w:sz w:val="28"/>
        </w:rPr>
        <w:t>無。</w:t>
      </w:r>
      <w:bookmarkStart w:id="1" w:name="_GoBack"/>
      <w:bookmarkEnd w:id="1"/>
      <w:r>
        <w:rPr>
          <w:rFonts w:ascii="標楷體" w:hAnsi="標楷體" w:cs="新細明體"/>
          <w:sz w:val="28"/>
          <w:szCs w:val="28"/>
        </w:rPr>
        <w:t xml:space="preserve"> </w:t>
      </w:r>
    </w:p>
    <w:p w:rsidR="00BA4AD5" w:rsidRDefault="00863450">
      <w:pPr>
        <w:spacing w:before="240" w:line="360" w:lineRule="exact"/>
        <w:ind w:left="616" w:hanging="616"/>
        <w:jc w:val="both"/>
        <w:rPr>
          <w:rFonts w:ascii="標楷體" w:hAnsi="標楷體"/>
          <w:sz w:val="28"/>
        </w:rPr>
      </w:pPr>
      <w:r>
        <w:rPr>
          <w:rFonts w:ascii="標楷體" w:hAnsi="標楷體"/>
          <w:sz w:val="28"/>
        </w:rPr>
        <w:t>四、公開資料發布訊息</w:t>
      </w:r>
    </w:p>
    <w:p w:rsidR="00BA4AD5" w:rsidRDefault="00863450">
      <w:pPr>
        <w:spacing w:line="360" w:lineRule="exact"/>
        <w:ind w:left="560" w:hanging="308"/>
        <w:jc w:val="both"/>
        <w:rPr>
          <w:rFonts w:ascii="標楷體" w:hAnsi="標楷體"/>
          <w:sz w:val="28"/>
        </w:rPr>
      </w:pPr>
      <w:proofErr w:type="gramStart"/>
      <w:r>
        <w:rPr>
          <w:rFonts w:ascii="標楷體" w:hAnsi="標楷體"/>
          <w:sz w:val="28"/>
        </w:rPr>
        <w:t>＊</w:t>
      </w:r>
      <w:proofErr w:type="gramEnd"/>
      <w:r>
        <w:rPr>
          <w:rFonts w:ascii="標楷體" w:hAnsi="標楷體"/>
          <w:sz w:val="28"/>
        </w:rPr>
        <w:t>預告發布日期（含預告方式及週期）：每月20日以前以公務統計報表發布。</w:t>
      </w:r>
    </w:p>
    <w:p w:rsidR="00BA4AD5" w:rsidRDefault="00863450">
      <w:pPr>
        <w:spacing w:line="360" w:lineRule="exact"/>
        <w:ind w:left="560" w:hanging="308"/>
        <w:jc w:val="both"/>
      </w:pPr>
      <w:proofErr w:type="gramStart"/>
      <w:r>
        <w:rPr>
          <w:rFonts w:ascii="標楷體" w:hAnsi="標楷體"/>
          <w:sz w:val="28"/>
        </w:rPr>
        <w:t>＊</w:t>
      </w:r>
      <w:proofErr w:type="gramEnd"/>
      <w:r>
        <w:rPr>
          <w:rFonts w:ascii="標楷體" w:hAnsi="標楷體"/>
          <w:sz w:val="28"/>
        </w:rPr>
        <w:t>同步發送單位（說明資料發布時同步發送之單位或可同步查得該資料之網址）：行政院環境保護署統計室、</w:t>
      </w:r>
      <w:r>
        <w:rPr>
          <w:rFonts w:ascii="標楷體" w:hAnsi="標楷體"/>
          <w:spacing w:val="-4"/>
          <w:sz w:val="28"/>
          <w:szCs w:val="28"/>
        </w:rPr>
        <w:t>金門縣</w:t>
      </w:r>
      <w:r>
        <w:rPr>
          <w:rFonts w:ascii="標楷體" w:hAnsi="標楷體"/>
          <w:sz w:val="28"/>
        </w:rPr>
        <w:t>警察局、</w:t>
      </w:r>
      <w:r>
        <w:rPr>
          <w:rFonts w:ascii="標楷體" w:hAnsi="標楷體"/>
          <w:spacing w:val="-4"/>
          <w:sz w:val="28"/>
          <w:szCs w:val="28"/>
        </w:rPr>
        <w:t>金門縣</w:t>
      </w:r>
      <w:r>
        <w:rPr>
          <w:rFonts w:ascii="標楷體" w:hAnsi="標楷體"/>
          <w:sz w:val="28"/>
        </w:rPr>
        <w:t>政府主計處、</w:t>
      </w:r>
      <w:r>
        <w:rPr>
          <w:rFonts w:ascii="標楷體" w:hAnsi="標楷體"/>
          <w:spacing w:val="-4"/>
          <w:sz w:val="28"/>
          <w:szCs w:val="28"/>
        </w:rPr>
        <w:t>金門縣</w:t>
      </w:r>
      <w:r>
        <w:rPr>
          <w:rFonts w:ascii="標楷體" w:hAnsi="標楷體"/>
          <w:sz w:val="28"/>
        </w:rPr>
        <w:t>環境保護局會計室。</w:t>
      </w:r>
    </w:p>
    <w:p w:rsidR="00BA4AD5" w:rsidRDefault="00863450">
      <w:pPr>
        <w:spacing w:before="240" w:line="360" w:lineRule="exact"/>
        <w:ind w:left="616" w:hanging="616"/>
        <w:jc w:val="both"/>
        <w:rPr>
          <w:rFonts w:ascii="標楷體" w:hAnsi="標楷體"/>
          <w:sz w:val="28"/>
        </w:rPr>
      </w:pPr>
      <w:r>
        <w:rPr>
          <w:rFonts w:ascii="標楷體" w:hAnsi="標楷體"/>
          <w:sz w:val="28"/>
        </w:rPr>
        <w:t>五、資料品質</w:t>
      </w:r>
    </w:p>
    <w:p w:rsidR="00BA4AD5" w:rsidRDefault="00863450">
      <w:pPr>
        <w:spacing w:line="360" w:lineRule="exact"/>
        <w:ind w:left="600" w:hanging="280"/>
        <w:jc w:val="both"/>
      </w:pPr>
      <w:proofErr w:type="gramStart"/>
      <w:r>
        <w:rPr>
          <w:rFonts w:ascii="標楷體" w:hAnsi="標楷體"/>
          <w:sz w:val="28"/>
        </w:rPr>
        <w:t>＊</w:t>
      </w:r>
      <w:proofErr w:type="gramEnd"/>
      <w:r>
        <w:rPr>
          <w:rFonts w:ascii="標楷體" w:hAnsi="標楷體"/>
          <w:sz w:val="28"/>
        </w:rPr>
        <w:t>統計指標編製方法與資料來源說明：由</w:t>
      </w:r>
      <w:r>
        <w:rPr>
          <w:rFonts w:ascii="標楷體" w:hAnsi="標楷體"/>
          <w:spacing w:val="-4"/>
          <w:sz w:val="28"/>
          <w:szCs w:val="28"/>
        </w:rPr>
        <w:t>金門縣</w:t>
      </w:r>
      <w:r>
        <w:rPr>
          <w:rFonts w:ascii="標楷體" w:hAnsi="標楷體"/>
          <w:sz w:val="28"/>
        </w:rPr>
        <w:t>環境保護局依</w:t>
      </w:r>
      <w:r>
        <w:rPr>
          <w:rFonts w:ascii="標楷體" w:hAnsi="標楷體"/>
          <w:spacing w:val="-4"/>
          <w:sz w:val="28"/>
          <w:szCs w:val="28"/>
        </w:rPr>
        <w:t>金門縣</w:t>
      </w:r>
      <w:r>
        <w:rPr>
          <w:rFonts w:ascii="標楷體" w:hAnsi="標楷體"/>
          <w:sz w:val="28"/>
        </w:rPr>
        <w:t>警察局及本局提報之廢車查報及移置狀況資料編製。</w:t>
      </w:r>
    </w:p>
    <w:p w:rsidR="00BA4AD5" w:rsidRDefault="00863450">
      <w:pPr>
        <w:tabs>
          <w:tab w:val="left" w:pos="8520"/>
        </w:tabs>
        <w:spacing w:line="360" w:lineRule="exact"/>
        <w:ind w:left="532" w:hanging="294"/>
        <w:jc w:val="both"/>
      </w:pPr>
      <w:proofErr w:type="gramStart"/>
      <w:r>
        <w:rPr>
          <w:rFonts w:ascii="標楷體" w:hAnsi="標楷體"/>
          <w:sz w:val="28"/>
        </w:rPr>
        <w:t>＊</w:t>
      </w:r>
      <w:proofErr w:type="gramEnd"/>
      <w:r>
        <w:rPr>
          <w:rFonts w:ascii="標楷體" w:hAnsi="標楷體"/>
          <w:sz w:val="28"/>
        </w:rPr>
        <w:t>統計資料交叉查核及確保資料合理性之機制（說明各項資料之相互關係及不同資料來源之相關統計差異性）：由於</w:t>
      </w:r>
      <w:r>
        <w:rPr>
          <w:rFonts w:ascii="標楷體" w:hAnsi="標楷體"/>
          <w:bCs/>
          <w:sz w:val="28"/>
        </w:rPr>
        <w:t>統計數據需與警察機關(</w:t>
      </w:r>
      <w:proofErr w:type="gramStart"/>
      <w:r>
        <w:rPr>
          <w:rFonts w:ascii="標楷體" w:hAnsi="標楷體"/>
          <w:bCs/>
          <w:sz w:val="28"/>
        </w:rPr>
        <w:t>有牌廢車</w:t>
      </w:r>
      <w:proofErr w:type="gramEnd"/>
      <w:r>
        <w:rPr>
          <w:rFonts w:ascii="標楷體" w:hAnsi="標楷體"/>
          <w:bCs/>
          <w:sz w:val="28"/>
        </w:rPr>
        <w:t>)及作為廠商繳款之依據，故統計資料無差異性。</w:t>
      </w:r>
    </w:p>
    <w:p w:rsidR="00BA4AD5" w:rsidRDefault="00863450">
      <w:pPr>
        <w:spacing w:before="240" w:line="360" w:lineRule="exact"/>
        <w:ind w:left="504" w:hanging="504"/>
        <w:jc w:val="both"/>
        <w:rPr>
          <w:rFonts w:ascii="標楷體" w:hAnsi="標楷體"/>
          <w:sz w:val="28"/>
        </w:rPr>
      </w:pPr>
      <w:r>
        <w:rPr>
          <w:rFonts w:ascii="標楷體" w:hAnsi="標楷體"/>
          <w:sz w:val="28"/>
        </w:rPr>
        <w:t>六、須注意及預定改變之事項（說明預定修正之資料、定義、統計方法等及其修正原因）：無。</w:t>
      </w:r>
    </w:p>
    <w:p w:rsidR="00BA4AD5" w:rsidRDefault="00863450">
      <w:pPr>
        <w:spacing w:before="240" w:line="360" w:lineRule="exact"/>
        <w:ind w:left="504" w:hanging="504"/>
        <w:jc w:val="both"/>
      </w:pPr>
      <w:r>
        <w:rPr>
          <w:rFonts w:ascii="標楷體" w:hAnsi="標楷體"/>
          <w:sz w:val="28"/>
        </w:rPr>
        <w:lastRenderedPageBreak/>
        <w:t>七、其他事項：無。</w:t>
      </w:r>
    </w:p>
    <w:sectPr w:rsidR="00BA4AD5">
      <w:footerReference w:type="default" r:id="rId9"/>
      <w:pgSz w:w="11906" w:h="16838"/>
      <w:pgMar w:top="1134" w:right="1134" w:bottom="1134" w:left="1701" w:header="851" w:footer="992" w:gutter="0"/>
      <w:cols w:space="720"/>
      <w:docGrid w:type="lines" w:linePitch="4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7486" w:rsidRDefault="000D7486">
      <w:r>
        <w:separator/>
      </w:r>
    </w:p>
  </w:endnote>
  <w:endnote w:type="continuationSeparator" w:id="0">
    <w:p w:rsidR="000D7486" w:rsidRDefault="000D7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D6" w:rsidRDefault="00863450">
    <w:pPr>
      <w:pStyle w:val="a6"/>
      <w:jc w:val="center"/>
    </w:pPr>
    <w:r>
      <w:t>11350104#</w:t>
    </w:r>
    <w:r>
      <w:rPr>
        <w:lang w:val="zh-TW"/>
      </w:rPr>
      <w:fldChar w:fldCharType="begin"/>
    </w:r>
    <w:r>
      <w:rPr>
        <w:lang w:val="zh-TW"/>
      </w:rPr>
      <w:instrText xml:space="preserve"> PAGE </w:instrText>
    </w:r>
    <w:r>
      <w:rPr>
        <w:lang w:val="zh-TW"/>
      </w:rPr>
      <w:fldChar w:fldCharType="separate"/>
    </w:r>
    <w:r w:rsidR="00B42008">
      <w:rPr>
        <w:noProof/>
        <w:lang w:val="zh-TW"/>
      </w:rPr>
      <w:t>2</w:t>
    </w:r>
    <w:r>
      <w:rPr>
        <w:lang w:val="zh-TW"/>
      </w:rPr>
      <w:fldChar w:fldCharType="end"/>
    </w:r>
  </w:p>
  <w:p w:rsidR="00CB1DD6" w:rsidRDefault="000D748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7486" w:rsidRDefault="000D7486">
      <w:r>
        <w:rPr>
          <w:color w:val="000000"/>
        </w:rPr>
        <w:separator/>
      </w:r>
    </w:p>
  </w:footnote>
  <w:footnote w:type="continuationSeparator" w:id="0">
    <w:p w:rsidR="000D7486" w:rsidRDefault="000D74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5169BB"/>
    <w:multiLevelType w:val="multilevel"/>
    <w:tmpl w:val="E32CA946"/>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nsid w:val="3ACC56D5"/>
    <w:multiLevelType w:val="multilevel"/>
    <w:tmpl w:val="E0B65756"/>
    <w:lvl w:ilvl="0">
      <w:start w:val="1"/>
      <w:numFmt w:val="taiwaneseCountingThousand"/>
      <w:lvlText w:val="%1、"/>
      <w:lvlJc w:val="left"/>
      <w:pPr>
        <w:ind w:left="480" w:hanging="480"/>
      </w:pPr>
    </w:lvl>
    <w:lvl w:ilvl="1">
      <w:start w:val="1"/>
      <w:numFmt w:val="taiwaneseCountingThousand"/>
      <w:lvlText w:val="（%2）"/>
      <w:lvlJc w:val="left"/>
      <w:pPr>
        <w:ind w:left="1200" w:hanging="720"/>
      </w:pPr>
    </w:lvl>
    <w:lvl w:ilvl="2">
      <w:start w:val="1"/>
      <w:numFmt w:val="decimal"/>
      <w:lvlText w:val="%3."/>
      <w:lvlJc w:val="left"/>
      <w:pPr>
        <w:ind w:left="1320" w:hanging="36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nsid w:val="6559420C"/>
    <w:multiLevelType w:val="multilevel"/>
    <w:tmpl w:val="3496D886"/>
    <w:lvl w:ilvl="0">
      <w:numFmt w:val="bullet"/>
      <w:lvlText w:val="＊"/>
      <w:lvlJc w:val="left"/>
      <w:pPr>
        <w:ind w:left="579" w:hanging="285"/>
      </w:pPr>
      <w:rPr>
        <w:rFonts w:ascii="標楷體" w:eastAsia="標楷體" w:hAnsi="標楷體"/>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nsid w:val="69F229FD"/>
    <w:multiLevelType w:val="multilevel"/>
    <w:tmpl w:val="2540906C"/>
    <w:lvl w:ilvl="0">
      <w:start w:val="1"/>
      <w:numFmt w:val="taiwaneseCountingThousand"/>
      <w:lvlText w:val="%1、"/>
      <w:lvlJc w:val="left"/>
      <w:pPr>
        <w:ind w:left="570" w:hanging="57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A4AD5"/>
    <w:rsid w:val="000D7486"/>
    <w:rsid w:val="007632F1"/>
    <w:rsid w:val="00863450"/>
    <w:rsid w:val="00B42008"/>
    <w:rsid w:val="00BA4AD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exact"/>
      <w:ind w:left="3888" w:hanging="3520"/>
      <w:jc w:val="both"/>
    </w:pPr>
    <w:rPr>
      <w:rFonts w:ascii="標楷體" w:hAnsi="標楷體"/>
    </w:rPr>
  </w:style>
  <w:style w:type="paragraph" w:styleId="2">
    <w:name w:val="Body Text Indent 2"/>
    <w:basedOn w:val="a"/>
    <w:pPr>
      <w:snapToGrid w:val="0"/>
      <w:spacing w:line="240" w:lineRule="atLeast"/>
      <w:ind w:left="1600" w:hanging="960"/>
    </w:pPr>
    <w:rPr>
      <w:rFonts w:ascii="標楷體" w:hAnsi="標楷體"/>
    </w:r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eastAsia="標楷體"/>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rFonts w:eastAsia="標楷體"/>
      <w:kern w:val="3"/>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exact"/>
      <w:ind w:left="3888" w:hanging="3520"/>
      <w:jc w:val="both"/>
    </w:pPr>
    <w:rPr>
      <w:rFonts w:ascii="標楷體" w:hAnsi="標楷體"/>
    </w:rPr>
  </w:style>
  <w:style w:type="paragraph" w:styleId="2">
    <w:name w:val="Body Text Indent 2"/>
    <w:basedOn w:val="a"/>
    <w:pPr>
      <w:snapToGrid w:val="0"/>
      <w:spacing w:line="240" w:lineRule="atLeast"/>
      <w:ind w:left="1600" w:hanging="960"/>
    </w:pPr>
    <w:rPr>
      <w:rFonts w:ascii="標楷體" w:hAnsi="標楷體"/>
    </w:rPr>
  </w:style>
  <w:style w:type="character" w:styleId="a4">
    <w:name w:val="Hyperlink"/>
    <w:basedOn w:val="a0"/>
    <w:rPr>
      <w:color w:val="0000FF"/>
      <w:u w:val="single"/>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basedOn w:val="a0"/>
    <w:rPr>
      <w:rFonts w:eastAsia="標楷體"/>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inmen.gov.tw/Layout/sub_D/Download_DownloadPage.aspx?path=14907&amp;Language=1&amp;UID=33&amp;ClsID=165&amp;ClsTwoID=618&amp;ClsThreeID=196&amp;FUID=3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249</Words>
  <Characters>1421</Characters>
  <Application>Microsoft Office Word</Application>
  <DocSecurity>0</DocSecurity>
  <Lines>11</Lines>
  <Paragraphs>3</Paragraphs>
  <ScaleCrop>false</ScaleCrop>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附件二</dc:title>
  <dc:creator>第三科</dc:creator>
  <cp:lastModifiedBy>黃紫貞</cp:lastModifiedBy>
  <cp:revision>3</cp:revision>
  <cp:lastPrinted>2007-12-24T07:52:00Z</cp:lastPrinted>
  <dcterms:created xsi:type="dcterms:W3CDTF">2017-11-13T07:26:00Z</dcterms:created>
  <dcterms:modified xsi:type="dcterms:W3CDTF">2019-11-13T06:30:00Z</dcterms:modified>
</cp:coreProperties>
</file>