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0E" w:rsidRPr="00E55C65" w:rsidRDefault="00F8410E">
      <w:pPr>
        <w:rPr>
          <w:rFonts w:ascii="標楷體" w:eastAsia="標楷體" w:hAnsi="標楷體"/>
          <w:sz w:val="36"/>
          <w:szCs w:val="36"/>
        </w:rPr>
      </w:pPr>
      <w:r w:rsidRPr="00E55C65">
        <w:rPr>
          <w:rFonts w:ascii="標楷體" w:eastAsia="標楷體" w:hAnsi="標楷體" w:hint="eastAsia"/>
          <w:sz w:val="36"/>
          <w:szCs w:val="36"/>
        </w:rPr>
        <w:t xml:space="preserve">青春少年兄、叔叔、伯伯們  </w:t>
      </w:r>
      <w:proofErr w:type="gramStart"/>
      <w:r w:rsidRPr="00E55C65">
        <w:rPr>
          <w:rFonts w:ascii="標楷體" w:eastAsia="標楷體" w:hAnsi="標楷體" w:hint="eastAsia"/>
          <w:sz w:val="36"/>
          <w:szCs w:val="36"/>
        </w:rPr>
        <w:t>到陣來</w:t>
      </w:r>
      <w:proofErr w:type="gramEnd"/>
      <w:r w:rsidRPr="00E55C65">
        <w:rPr>
          <w:rFonts w:ascii="標楷體" w:eastAsia="標楷體" w:hAnsi="標楷體" w:hint="eastAsia"/>
          <w:sz w:val="36"/>
          <w:szCs w:val="36"/>
        </w:rPr>
        <w:t>參加戒菸</w:t>
      </w:r>
    </w:p>
    <w:p w:rsidR="00F8410E" w:rsidRDefault="00F8410E">
      <w:pPr>
        <w:rPr>
          <w:rFonts w:ascii="標楷體" w:eastAsia="標楷體" w:hAnsi="標楷體"/>
          <w:sz w:val="36"/>
          <w:szCs w:val="36"/>
        </w:rPr>
      </w:pPr>
      <w:r w:rsidRPr="00E55C65">
        <w:rPr>
          <w:rFonts w:ascii="標楷體" w:eastAsia="標楷體" w:hAnsi="標楷體" w:hint="eastAsia"/>
          <w:sz w:val="36"/>
          <w:szCs w:val="36"/>
        </w:rPr>
        <w:t xml:space="preserve">                      宣誓戒除</w:t>
      </w:r>
      <w:proofErr w:type="gramStart"/>
      <w:r w:rsidRPr="00E55C65">
        <w:rPr>
          <w:rFonts w:ascii="標楷體" w:eastAsia="標楷體" w:hAnsi="標楷體" w:hint="eastAsia"/>
          <w:sz w:val="36"/>
          <w:szCs w:val="36"/>
        </w:rPr>
        <w:t>菸</w:t>
      </w:r>
      <w:proofErr w:type="gramEnd"/>
      <w:r w:rsidRPr="00E55C65">
        <w:rPr>
          <w:rFonts w:ascii="標楷體" w:eastAsia="標楷體" w:hAnsi="標楷體" w:hint="eastAsia"/>
          <w:sz w:val="36"/>
          <w:szCs w:val="36"/>
        </w:rPr>
        <w:t>癮</w:t>
      </w:r>
      <w:r w:rsidR="0002621E" w:rsidRPr="00E55C65">
        <w:rPr>
          <w:rFonts w:ascii="標楷體" w:eastAsia="標楷體" w:hAnsi="標楷體" w:hint="eastAsia"/>
          <w:sz w:val="36"/>
          <w:szCs w:val="36"/>
        </w:rPr>
        <w:t xml:space="preserve"> 遠離</w:t>
      </w:r>
      <w:proofErr w:type="gramStart"/>
      <w:r w:rsidR="0002621E" w:rsidRPr="00E55C65">
        <w:rPr>
          <w:rFonts w:ascii="標楷體" w:eastAsia="標楷體" w:hAnsi="標楷體" w:hint="eastAsia"/>
          <w:sz w:val="36"/>
          <w:szCs w:val="36"/>
        </w:rPr>
        <w:t>菸</w:t>
      </w:r>
      <w:proofErr w:type="gramEnd"/>
      <w:r w:rsidR="0002621E" w:rsidRPr="00E55C65">
        <w:rPr>
          <w:rFonts w:ascii="標楷體" w:eastAsia="標楷體" w:hAnsi="標楷體" w:hint="eastAsia"/>
          <w:sz w:val="36"/>
          <w:szCs w:val="36"/>
        </w:rPr>
        <w:t>害</w:t>
      </w:r>
    </w:p>
    <w:p w:rsidR="00E55C65" w:rsidRPr="00E55C65" w:rsidRDefault="00E55C65" w:rsidP="00E55C65">
      <w:pPr>
        <w:jc w:val="right"/>
        <w:rPr>
          <w:rFonts w:ascii="標楷體" w:eastAsia="標楷體" w:hAnsi="標楷體"/>
          <w:szCs w:val="24"/>
        </w:rPr>
      </w:pPr>
      <w:r w:rsidRPr="00E55C65">
        <w:rPr>
          <w:rFonts w:ascii="標楷體" w:eastAsia="標楷體" w:hAnsi="標楷體" w:hint="eastAsia"/>
          <w:szCs w:val="24"/>
        </w:rPr>
        <w:t>保健科  翁姿萍</w:t>
      </w:r>
    </w:p>
    <w:p w:rsidR="00C50E0D" w:rsidRPr="00D97BF0" w:rsidRDefault="00C50E0D" w:rsidP="00DC4D91">
      <w:pPr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D97BF0">
        <w:rPr>
          <w:rFonts w:ascii="標楷體" w:eastAsia="標楷體" w:hAnsi="標楷體" w:hint="eastAsia"/>
          <w:color w:val="000000"/>
          <w:szCs w:val="24"/>
        </w:rPr>
        <w:t>為了降低地區青少年吸菸比率，建構無</w:t>
      </w:r>
      <w:proofErr w:type="gramStart"/>
      <w:r w:rsidRPr="00D97BF0">
        <w:rPr>
          <w:rFonts w:ascii="標楷體" w:eastAsia="標楷體" w:hAnsi="標楷體" w:hint="eastAsia"/>
          <w:color w:val="000000"/>
          <w:szCs w:val="24"/>
        </w:rPr>
        <w:t>菸</w:t>
      </w:r>
      <w:proofErr w:type="gramEnd"/>
      <w:r w:rsidRPr="00D97BF0">
        <w:rPr>
          <w:rFonts w:ascii="標楷體" w:eastAsia="標楷體" w:hAnsi="標楷體" w:hint="eastAsia"/>
          <w:color w:val="000000"/>
          <w:szCs w:val="24"/>
        </w:rPr>
        <w:t>環境，</w:t>
      </w:r>
      <w:r w:rsidR="00F8410E" w:rsidRPr="00D97BF0">
        <w:rPr>
          <w:rFonts w:ascii="標楷體" w:eastAsia="標楷體" w:hAnsi="標楷體" w:hint="eastAsia"/>
          <w:szCs w:val="24"/>
        </w:rPr>
        <w:t>由</w:t>
      </w:r>
      <w:r w:rsidR="008E4DDA" w:rsidRPr="00D97BF0">
        <w:rPr>
          <w:rFonts w:ascii="標楷體" w:eastAsia="標楷體" w:hAnsi="標楷體" w:hint="eastAsia"/>
          <w:szCs w:val="24"/>
        </w:rPr>
        <w:t>本</w:t>
      </w:r>
      <w:r w:rsidR="00F8410E" w:rsidRPr="00D97BF0">
        <w:rPr>
          <w:rFonts w:ascii="標楷體" w:eastAsia="標楷體" w:hAnsi="標楷體" w:hint="eastAsia"/>
          <w:szCs w:val="24"/>
        </w:rPr>
        <w:t>局分別結合金城國中、金沙國中、金湖國中、國立金門高級農工職業學校等校分別辦理4班青少年戒菸教育輔導班，共計有41名青少年參加，力行戒菸行動。</w:t>
      </w:r>
      <w:r w:rsidRPr="00D97BF0">
        <w:rPr>
          <w:rFonts w:ascii="標楷體" w:eastAsia="標楷體" w:hAnsi="標楷體" w:hint="eastAsia"/>
          <w:color w:val="000000"/>
          <w:szCs w:val="24"/>
        </w:rPr>
        <w:t>透過辦理青少年戒菸教育輔導班，幫助染上</w:t>
      </w:r>
      <w:proofErr w:type="gramStart"/>
      <w:r w:rsidRPr="00D97BF0">
        <w:rPr>
          <w:rFonts w:ascii="標楷體" w:eastAsia="標楷體" w:hAnsi="標楷體" w:hint="eastAsia"/>
          <w:color w:val="000000"/>
          <w:szCs w:val="24"/>
        </w:rPr>
        <w:t>菸</w:t>
      </w:r>
      <w:proofErr w:type="gramEnd"/>
      <w:r w:rsidRPr="00D97BF0">
        <w:rPr>
          <w:rFonts w:ascii="標楷體" w:eastAsia="標楷體" w:hAnsi="標楷體" w:hint="eastAsia"/>
          <w:color w:val="000000"/>
          <w:szCs w:val="24"/>
        </w:rPr>
        <w:t>癮惡習的青少年戒除</w:t>
      </w:r>
      <w:proofErr w:type="gramStart"/>
      <w:r w:rsidRPr="00D97BF0">
        <w:rPr>
          <w:rFonts w:ascii="標楷體" w:eastAsia="標楷體" w:hAnsi="標楷體" w:hint="eastAsia"/>
          <w:color w:val="000000"/>
          <w:szCs w:val="24"/>
        </w:rPr>
        <w:t>菸</w:t>
      </w:r>
      <w:proofErr w:type="gramEnd"/>
      <w:r w:rsidRPr="00D97BF0">
        <w:rPr>
          <w:rFonts w:ascii="標楷體" w:eastAsia="標楷體" w:hAnsi="標楷體" w:hint="eastAsia"/>
          <w:color w:val="000000"/>
          <w:szCs w:val="24"/>
        </w:rPr>
        <w:t>癮，每班課程共計12小時，並於每堂課報到時量測肺部一氧化碳CO值，透過活動的進行讓學生了解吸菸的危害，促進宣教成效，提升青少年同儕之拒</w:t>
      </w:r>
      <w:proofErr w:type="gramStart"/>
      <w:r w:rsidRPr="00D97BF0">
        <w:rPr>
          <w:rFonts w:ascii="標楷體" w:eastAsia="標楷體" w:hAnsi="標楷體" w:hint="eastAsia"/>
          <w:color w:val="000000"/>
          <w:szCs w:val="24"/>
        </w:rPr>
        <w:t>菸</w:t>
      </w:r>
      <w:proofErr w:type="gramEnd"/>
      <w:r w:rsidRPr="00D97BF0">
        <w:rPr>
          <w:rFonts w:ascii="標楷體" w:eastAsia="標楷體" w:hAnsi="標楷體" w:hint="eastAsia"/>
          <w:color w:val="000000"/>
          <w:szCs w:val="24"/>
        </w:rPr>
        <w:t>信念， 輔導青少年力行健康行為。</w:t>
      </w:r>
    </w:p>
    <w:p w:rsidR="00C50E0D" w:rsidRDefault="00127341" w:rsidP="00127341">
      <w:pPr>
        <w:ind w:firstLineChars="200" w:firstLine="480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其中，金城國中之青少年戒菸輔導班課程已辦理完畢</w:t>
      </w:r>
      <w:r w:rsidR="00C50E0D" w:rsidRPr="00D97BF0">
        <w:rPr>
          <w:rFonts w:ascii="標楷體" w:eastAsia="標楷體" w:hAnsi="標楷體" w:hint="eastAsia"/>
          <w:color w:val="000000"/>
          <w:szCs w:val="24"/>
        </w:rPr>
        <w:t>，</w:t>
      </w:r>
      <w:r w:rsidR="00510F10">
        <w:rPr>
          <w:rFonts w:ascii="標楷體" w:eastAsia="標楷體" w:hAnsi="標楷體" w:hint="eastAsia"/>
          <w:color w:val="000000"/>
          <w:szCs w:val="24"/>
        </w:rPr>
        <w:t>共有17名青少年參加戒菸，</w:t>
      </w:r>
      <w:r w:rsidR="000A7E6C" w:rsidRPr="00D97BF0">
        <w:rPr>
          <w:rFonts w:ascii="標楷體" w:eastAsia="標楷體" w:hAnsi="標楷體" w:hint="eastAsia"/>
          <w:color w:val="000000"/>
          <w:szCs w:val="24"/>
        </w:rPr>
        <w:t>課程內容包含有</w:t>
      </w:r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戒菸喜相逢、戒菸開步走、</w:t>
      </w:r>
      <w:proofErr w:type="gramStart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菸</w:t>
      </w:r>
      <w:proofErr w:type="gramEnd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 xml:space="preserve">幕後的事實、健康UP </w:t>
      </w:r>
      <w:proofErr w:type="spellStart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UP</w:t>
      </w:r>
      <w:proofErr w:type="spellEnd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proofErr w:type="spellStart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UP</w:t>
      </w:r>
      <w:proofErr w:type="spellEnd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proofErr w:type="gramStart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體控</w:t>
      </w:r>
      <w:proofErr w:type="gramEnd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 xml:space="preserve">GO </w:t>
      </w:r>
      <w:proofErr w:type="spellStart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GO</w:t>
      </w:r>
      <w:proofErr w:type="spellEnd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proofErr w:type="spellStart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GO</w:t>
      </w:r>
      <w:proofErr w:type="spellEnd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0A7E6C" w:rsidRPr="00D97BF0">
        <w:rPr>
          <w:rFonts w:ascii="標楷體" w:eastAsia="標楷體" w:hAnsi="標楷體" w:cs="新細明體" w:hint="eastAsia"/>
          <w:b/>
          <w:color w:val="000000"/>
          <w:szCs w:val="24"/>
        </w:rPr>
        <w:t>抗</w:t>
      </w:r>
      <w:proofErr w:type="gramStart"/>
      <w:r w:rsidR="000A7E6C" w:rsidRPr="00D97BF0">
        <w:rPr>
          <w:rFonts w:ascii="標楷體" w:eastAsia="標楷體" w:hAnsi="標楷體" w:cs="新細明體" w:hint="eastAsia"/>
          <w:b/>
          <w:color w:val="000000"/>
          <w:szCs w:val="24"/>
        </w:rPr>
        <w:t>菸</w:t>
      </w:r>
      <w:proofErr w:type="gramEnd"/>
      <w:r w:rsidR="000A7E6C" w:rsidRPr="00D97BF0">
        <w:rPr>
          <w:rFonts w:ascii="標楷體" w:eastAsia="標楷體" w:hAnsi="標楷體" w:cs="新細明體" w:hint="eastAsia"/>
          <w:b/>
          <w:color w:val="000000"/>
          <w:szCs w:val="24"/>
        </w:rPr>
        <w:t>總動員、反菸大作戰、</w:t>
      </w:r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戒菸大計團康活動、戒菸診療室、</w:t>
      </w:r>
      <w:r w:rsidR="000A7E6C" w:rsidRPr="00D97BF0">
        <w:rPr>
          <w:rFonts w:ascii="標楷體" w:eastAsia="標楷體" w:hAnsi="標楷體" w:cs="新細明體" w:hint="eastAsia"/>
          <w:b/>
          <w:color w:val="000000"/>
          <w:szCs w:val="24"/>
        </w:rPr>
        <w:t>戒菸與壓力調適、</w:t>
      </w:r>
      <w:r w:rsidR="000A7E6C" w:rsidRPr="00D97BF0">
        <w:rPr>
          <w:rFonts w:ascii="標楷體" w:eastAsia="標楷體" w:hAnsi="標楷體" w:hint="eastAsia"/>
          <w:b/>
          <w:bCs/>
          <w:color w:val="000000"/>
          <w:szCs w:val="24"/>
        </w:rPr>
        <w:t>戒菸向前行、</w:t>
      </w:r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無</w:t>
      </w:r>
      <w:proofErr w:type="gramStart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菸</w:t>
      </w:r>
      <w:proofErr w:type="gramEnd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心情頌、無</w:t>
      </w:r>
      <w:proofErr w:type="gramStart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菸</w:t>
      </w:r>
      <w:proofErr w:type="gramEnd"/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新生活~清新好少年等，內容豐富精彩，透過講師與學員的互動及分享，鼓勵戒菸成效，本局也在課程中設計了</w:t>
      </w:r>
      <w:r w:rsidR="00E74B7C" w:rsidRPr="00D97BF0">
        <w:rPr>
          <w:rFonts w:ascii="標楷體" w:eastAsia="標楷體" w:hAnsi="標楷體" w:hint="eastAsia"/>
          <w:b/>
          <w:color w:val="000000"/>
          <w:szCs w:val="24"/>
        </w:rPr>
        <w:t>進步獎、</w:t>
      </w:r>
      <w:r w:rsidR="000A7E6C" w:rsidRPr="00D97BF0">
        <w:rPr>
          <w:rFonts w:ascii="標楷體" w:eastAsia="標楷體" w:hAnsi="標楷體" w:hint="eastAsia"/>
          <w:b/>
          <w:color w:val="000000"/>
          <w:szCs w:val="24"/>
        </w:rPr>
        <w:t>全勤獎、戒菸努力獎、戒菸成效獎等獎項，</w:t>
      </w:r>
      <w:r w:rsidR="00E74B7C" w:rsidRPr="00D97BF0">
        <w:rPr>
          <w:rFonts w:ascii="標楷體" w:eastAsia="標楷體" w:hAnsi="標楷體" w:hint="eastAsia"/>
          <w:b/>
          <w:color w:val="000000"/>
          <w:szCs w:val="24"/>
        </w:rPr>
        <w:t>鼓勵戒菸者持之以恆，抱</w:t>
      </w:r>
      <w:proofErr w:type="gramStart"/>
      <w:r w:rsidR="00E74B7C" w:rsidRPr="00D97BF0">
        <w:rPr>
          <w:rFonts w:ascii="標楷體" w:eastAsia="標楷體" w:hAnsi="標楷體" w:hint="eastAsia"/>
          <w:b/>
          <w:color w:val="000000"/>
          <w:szCs w:val="24"/>
        </w:rPr>
        <w:t>著必戒的</w:t>
      </w:r>
      <w:proofErr w:type="gramEnd"/>
      <w:r w:rsidR="00E74B7C" w:rsidRPr="00D97BF0">
        <w:rPr>
          <w:rFonts w:ascii="標楷體" w:eastAsia="標楷體" w:hAnsi="標楷體" w:hint="eastAsia"/>
          <w:b/>
          <w:color w:val="000000"/>
          <w:szCs w:val="24"/>
        </w:rPr>
        <w:t>決心及毅力。</w:t>
      </w:r>
      <w:r w:rsidR="008E4DDA" w:rsidRPr="00D97BF0">
        <w:rPr>
          <w:rFonts w:ascii="標楷體" w:eastAsia="標楷體" w:hAnsi="標楷體" w:hint="eastAsia"/>
          <w:b/>
          <w:color w:val="000000"/>
          <w:szCs w:val="24"/>
        </w:rPr>
        <w:t>而金城國中戒菸班學員中共有8位同學</w:t>
      </w:r>
      <w:r>
        <w:rPr>
          <w:rFonts w:ascii="標楷體" w:eastAsia="標楷體" w:hAnsi="標楷體" w:hint="eastAsia"/>
          <w:b/>
          <w:color w:val="000000"/>
          <w:szCs w:val="24"/>
        </w:rPr>
        <w:t>為全程參與戒菸班課程，榮獲</w:t>
      </w:r>
      <w:r w:rsidR="008E4DDA" w:rsidRPr="00D97BF0">
        <w:rPr>
          <w:rFonts w:ascii="標楷體" w:eastAsia="標楷體" w:hAnsi="標楷體" w:hint="eastAsia"/>
          <w:b/>
          <w:color w:val="000000"/>
          <w:szCs w:val="24"/>
        </w:rPr>
        <w:t>戒菸全勤獎，12次的課程從不缺席，值得嘉勉，另有3位學員</w:t>
      </w:r>
      <w:r>
        <w:rPr>
          <w:rFonts w:ascii="標楷體" w:eastAsia="標楷體" w:hAnsi="標楷體" w:hint="eastAsia"/>
          <w:b/>
          <w:color w:val="000000"/>
          <w:szCs w:val="24"/>
        </w:rPr>
        <w:t>也榮獲</w:t>
      </w:r>
      <w:r w:rsidR="008E4DDA" w:rsidRPr="00D97BF0">
        <w:rPr>
          <w:rFonts w:ascii="標楷體" w:eastAsia="標楷體" w:hAnsi="標楷體" w:hint="eastAsia"/>
          <w:b/>
          <w:color w:val="000000"/>
          <w:szCs w:val="24"/>
        </w:rPr>
        <w:t>戒菸努力獎，為CO值下降次數最多。</w:t>
      </w:r>
      <w:r w:rsidR="00510F10">
        <w:rPr>
          <w:rFonts w:ascii="標楷體" w:eastAsia="標楷體" w:hAnsi="標楷體" w:hint="eastAsia"/>
          <w:b/>
          <w:color w:val="000000"/>
          <w:szCs w:val="24"/>
        </w:rPr>
        <w:t>最後一次課程後已有7位學員都保持</w:t>
      </w:r>
      <w:proofErr w:type="gramStart"/>
      <w:r w:rsidR="00510F10">
        <w:rPr>
          <w:rFonts w:ascii="標楷體" w:eastAsia="標楷體" w:hAnsi="標楷體" w:hint="eastAsia"/>
          <w:b/>
          <w:color w:val="000000"/>
          <w:szCs w:val="24"/>
        </w:rPr>
        <w:t>不</w:t>
      </w:r>
      <w:proofErr w:type="gramEnd"/>
      <w:r w:rsidR="00510F10">
        <w:rPr>
          <w:rFonts w:ascii="標楷體" w:eastAsia="標楷體" w:hAnsi="標楷體" w:hint="eastAsia"/>
          <w:b/>
          <w:color w:val="000000"/>
          <w:szCs w:val="24"/>
        </w:rPr>
        <w:t>吸菸(戒菸率為41%)</w:t>
      </w:r>
      <w:r w:rsidR="00DC4D91">
        <w:rPr>
          <w:rFonts w:ascii="標楷體" w:eastAsia="標楷體" w:hAnsi="標楷體" w:hint="eastAsia"/>
          <w:b/>
          <w:color w:val="000000"/>
          <w:szCs w:val="24"/>
        </w:rPr>
        <w:t>，成效頗佳，後續將持續進行追蹤課後1個月的戒菸情形</w:t>
      </w:r>
      <w:r w:rsidR="00510F10">
        <w:rPr>
          <w:rFonts w:ascii="標楷體" w:eastAsia="標楷體" w:hAnsi="標楷體" w:hint="eastAsia"/>
          <w:b/>
          <w:color w:val="000000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819F6" w:rsidTr="00E819F6">
        <w:tc>
          <w:tcPr>
            <w:tcW w:w="4181" w:type="dxa"/>
          </w:tcPr>
          <w:p w:rsidR="00E819F6" w:rsidRDefault="00E819F6" w:rsidP="0012734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Cs w:val="24"/>
              </w:rPr>
              <w:drawing>
                <wp:inline distT="0" distB="0" distL="0" distR="0" wp14:anchorId="7CA359F6" wp14:editId="21BF3917">
                  <wp:extent cx="2430000" cy="1825200"/>
                  <wp:effectExtent l="0" t="0" r="889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32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E819F6" w:rsidRDefault="00E819F6" w:rsidP="0012734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Cs w:val="24"/>
              </w:rPr>
              <w:drawing>
                <wp:inline distT="0" distB="0" distL="0" distR="0" wp14:anchorId="3FFDF176" wp14:editId="0C2507FF">
                  <wp:extent cx="2433600" cy="1825200"/>
                  <wp:effectExtent l="0" t="0" r="508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34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00" cy="18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DDA" w:rsidRDefault="008E4DDA" w:rsidP="00127341">
      <w:pPr>
        <w:ind w:firstLineChars="200" w:firstLine="480"/>
        <w:rPr>
          <w:rFonts w:ascii="標楷體" w:eastAsia="標楷體" w:hAnsi="標楷體"/>
          <w:color w:val="000000"/>
          <w:kern w:val="0"/>
          <w:szCs w:val="24"/>
        </w:rPr>
      </w:pPr>
      <w:r w:rsidRPr="00D97BF0">
        <w:rPr>
          <w:rFonts w:ascii="標楷體" w:eastAsia="標楷體" w:hAnsi="標楷體" w:hint="eastAsia"/>
          <w:b/>
          <w:color w:val="000000"/>
          <w:szCs w:val="24"/>
        </w:rPr>
        <w:t>另本局也結合</w:t>
      </w:r>
      <w:r w:rsidRPr="00D97BF0">
        <w:rPr>
          <w:rFonts w:ascii="標楷體" w:eastAsia="標楷體" w:hAnsi="標楷體" w:hint="eastAsia"/>
          <w:color w:val="000000"/>
          <w:kern w:val="0"/>
          <w:szCs w:val="24"/>
        </w:rPr>
        <w:t>金城鎮北門社區發展協會、金城鎮北門社區志工隊、金城鎮北門里公所等單位共同辦理</w:t>
      </w:r>
      <w:r w:rsidRPr="00D97BF0">
        <w:rPr>
          <w:rFonts w:ascii="標楷體" w:eastAsia="標楷體" w:hAnsi="標楷體" w:hint="eastAsia"/>
          <w:b/>
          <w:color w:val="000000"/>
          <w:szCs w:val="24"/>
        </w:rPr>
        <w:t>103年『北門戒菸班』活動</w:t>
      </w:r>
      <w:r w:rsidRPr="00D97BF0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="002E56CD" w:rsidRPr="00D97BF0">
        <w:rPr>
          <w:rFonts w:ascii="標楷體" w:eastAsia="標楷體" w:hAnsi="標楷體" w:hint="eastAsia"/>
          <w:color w:val="000000"/>
          <w:kern w:val="0"/>
          <w:szCs w:val="24"/>
        </w:rPr>
        <w:t>共有28位戒菸者加入戒菸行列，課程結束後共有5位學員為全程參加，獲得全勤獎鼓勵，另有4位學員獲得戒菸努力獎，課程期間</w:t>
      </w:r>
      <w:r w:rsidR="0014611B">
        <w:rPr>
          <w:rFonts w:ascii="標楷體" w:eastAsia="標楷體" w:hAnsi="標楷體" w:hint="eastAsia"/>
          <w:color w:val="000000"/>
          <w:kern w:val="0"/>
          <w:szCs w:val="24"/>
        </w:rPr>
        <w:t>北門</w:t>
      </w:r>
      <w:r w:rsidR="002E56CD" w:rsidRPr="00D97BF0">
        <w:rPr>
          <w:rFonts w:ascii="標楷體" w:eastAsia="標楷體" w:hAnsi="標楷體" w:hint="eastAsia"/>
          <w:color w:val="000000"/>
          <w:kern w:val="0"/>
          <w:szCs w:val="24"/>
        </w:rPr>
        <w:t>社區</w:t>
      </w:r>
      <w:r w:rsidR="0014611B">
        <w:rPr>
          <w:rFonts w:ascii="標楷體" w:eastAsia="標楷體" w:hAnsi="標楷體" w:hint="eastAsia"/>
          <w:color w:val="000000"/>
          <w:kern w:val="0"/>
          <w:szCs w:val="24"/>
        </w:rPr>
        <w:t>志工隊的</w:t>
      </w:r>
      <w:r w:rsidR="002E56CD" w:rsidRPr="00D97BF0">
        <w:rPr>
          <w:rFonts w:ascii="標楷體" w:eastAsia="標楷體" w:hAnsi="標楷體" w:hint="eastAsia"/>
          <w:color w:val="000000"/>
          <w:kern w:val="0"/>
          <w:szCs w:val="24"/>
        </w:rPr>
        <w:t>志工</w:t>
      </w:r>
      <w:r w:rsidR="0014611B">
        <w:rPr>
          <w:rFonts w:ascii="標楷體" w:eastAsia="標楷體" w:hAnsi="標楷體" w:hint="eastAsia"/>
          <w:color w:val="000000"/>
          <w:kern w:val="0"/>
          <w:szCs w:val="24"/>
        </w:rPr>
        <w:t>阿姨</w:t>
      </w:r>
      <w:r w:rsidR="002E56CD" w:rsidRPr="00D97BF0">
        <w:rPr>
          <w:rFonts w:ascii="標楷體" w:eastAsia="標楷體" w:hAnsi="標楷體" w:hint="eastAsia"/>
          <w:color w:val="000000"/>
          <w:kern w:val="0"/>
          <w:szCs w:val="24"/>
        </w:rPr>
        <w:t>們也主動參與</w:t>
      </w:r>
      <w:r w:rsidR="0009330E">
        <w:rPr>
          <w:rFonts w:ascii="標楷體" w:eastAsia="標楷體" w:hAnsi="標楷體" w:hint="eastAsia"/>
          <w:color w:val="000000"/>
          <w:kern w:val="0"/>
          <w:szCs w:val="24"/>
        </w:rPr>
        <w:t>計畫推動</w:t>
      </w:r>
      <w:r w:rsidR="002E56CD" w:rsidRPr="00D97BF0">
        <w:rPr>
          <w:rFonts w:ascii="標楷體" w:eastAsia="標楷體" w:hAnsi="標楷體" w:hint="eastAsia"/>
          <w:color w:val="000000"/>
          <w:kern w:val="0"/>
          <w:szCs w:val="24"/>
        </w:rPr>
        <w:t>及陪伴戒菸者</w:t>
      </w:r>
      <w:r w:rsidR="0009330E">
        <w:rPr>
          <w:rFonts w:ascii="標楷體" w:eastAsia="標楷體" w:hAnsi="標楷體" w:hint="eastAsia"/>
          <w:color w:val="000000"/>
          <w:kern w:val="0"/>
          <w:szCs w:val="24"/>
        </w:rPr>
        <w:t>開始戒菸之路</w:t>
      </w:r>
      <w:r w:rsidR="00127341">
        <w:rPr>
          <w:rFonts w:ascii="標楷體" w:eastAsia="標楷體" w:hAnsi="標楷體" w:hint="eastAsia"/>
          <w:color w:val="000000"/>
          <w:kern w:val="0"/>
          <w:szCs w:val="24"/>
        </w:rPr>
        <w:t>，給予支持及鼓勵，</w:t>
      </w:r>
      <w:r w:rsidR="00DC4D91">
        <w:rPr>
          <w:rFonts w:ascii="標楷體" w:eastAsia="標楷體" w:hAnsi="標楷體" w:hint="eastAsia"/>
          <w:color w:val="000000"/>
          <w:kern w:val="0"/>
          <w:szCs w:val="24"/>
        </w:rPr>
        <w:t>這些叔叔、伯伯們也很努力的力行戒菸行動，開始以身作則，</w:t>
      </w:r>
      <w:r w:rsidR="0009330E">
        <w:rPr>
          <w:rFonts w:ascii="標楷體" w:eastAsia="標楷體" w:hAnsi="標楷體" w:hint="eastAsia"/>
          <w:color w:val="000000"/>
          <w:kern w:val="0"/>
          <w:szCs w:val="24"/>
        </w:rPr>
        <w:t>讓自己</w:t>
      </w:r>
      <w:r w:rsidR="00DC4D91">
        <w:rPr>
          <w:rFonts w:ascii="標楷體" w:eastAsia="標楷體" w:hAnsi="標楷體" w:hint="eastAsia"/>
          <w:color w:val="000000"/>
          <w:kern w:val="0"/>
          <w:szCs w:val="24"/>
        </w:rPr>
        <w:t>成為家中孩子的榜樣，擺脫</w:t>
      </w:r>
      <w:proofErr w:type="gramStart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菸</w:t>
      </w:r>
      <w:proofErr w:type="gramEnd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癮。因為把</w:t>
      </w:r>
      <w:proofErr w:type="gramStart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菸</w:t>
      </w:r>
      <w:proofErr w:type="gramEnd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戒掉後，不用再花上大把鈔票買</w:t>
      </w:r>
      <w:proofErr w:type="gramStart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菸</w:t>
      </w:r>
      <w:proofErr w:type="gramEnd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，也不用讓吸菸成為生活中的</w:t>
      </w:r>
      <w:proofErr w:type="gramStart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拌腳石</w:t>
      </w:r>
      <w:proofErr w:type="gramEnd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，更不會製造二手</w:t>
      </w:r>
      <w:proofErr w:type="gramStart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菸</w:t>
      </w:r>
      <w:proofErr w:type="gramEnd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害、三手</w:t>
      </w:r>
      <w:proofErr w:type="gramStart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菸</w:t>
      </w:r>
      <w:proofErr w:type="gramEnd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害，毒害大眾及家人，還可以參加戒菸抽大獎活動，更</w:t>
      </w:r>
      <w:proofErr w:type="gramStart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更</w:t>
      </w:r>
      <w:proofErr w:type="gramEnd"/>
      <w:r w:rsidR="00DC4D91">
        <w:rPr>
          <w:rFonts w:ascii="標楷體" w:eastAsia="標楷體" w:hAnsi="標楷體" w:hint="eastAsia"/>
          <w:color w:val="000000"/>
          <w:kern w:val="0"/>
          <w:szCs w:val="24"/>
        </w:rPr>
        <w:t>重要的是找回健康這個無價之寶。</w:t>
      </w:r>
      <w:r w:rsidR="00ED2CF9">
        <w:rPr>
          <w:rFonts w:ascii="標楷體" w:eastAsia="標楷體" w:hAnsi="標楷體" w:hint="eastAsia"/>
          <w:color w:val="000000"/>
          <w:kern w:val="0"/>
          <w:szCs w:val="24"/>
        </w:rPr>
        <w:t>課程結束後已有7位學員已經開始不吸菸了，相</w:t>
      </w:r>
      <w:r w:rsidR="00ED2CF9">
        <w:rPr>
          <w:rFonts w:ascii="標楷體" w:eastAsia="標楷體" w:hAnsi="標楷體" w:hint="eastAsia"/>
          <w:color w:val="000000"/>
          <w:kern w:val="0"/>
          <w:szCs w:val="24"/>
        </w:rPr>
        <w:lastRenderedPageBreak/>
        <w:t>信他們成功戒菸的機會很大，邁向戒菸之路，迎向健康的未來。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4611B" w:rsidTr="0014611B">
        <w:tc>
          <w:tcPr>
            <w:tcW w:w="4181" w:type="dxa"/>
          </w:tcPr>
          <w:p w:rsidR="0014611B" w:rsidRDefault="0014611B" w:rsidP="0012734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2433600" cy="1825200"/>
                  <wp:effectExtent l="0" t="0" r="508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2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00" cy="18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14611B" w:rsidRDefault="0014611B" w:rsidP="0012734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2433600" cy="1825200"/>
                  <wp:effectExtent l="0" t="0" r="508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2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00" cy="18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11B" w:rsidTr="0014611B">
        <w:tc>
          <w:tcPr>
            <w:tcW w:w="4181" w:type="dxa"/>
          </w:tcPr>
          <w:p w:rsidR="0014611B" w:rsidRDefault="0014611B" w:rsidP="00127341">
            <w:pPr>
              <w:rPr>
                <w:rFonts w:ascii="標楷體" w:eastAsia="標楷體" w:hAnsi="標楷體"/>
                <w:noProof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2433600" cy="1825200"/>
                  <wp:effectExtent l="0" t="0" r="508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29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00" cy="18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14611B" w:rsidRDefault="0014611B" w:rsidP="00127341">
            <w:pPr>
              <w:rPr>
                <w:rFonts w:ascii="標楷體" w:eastAsia="標楷體" w:hAnsi="標楷體"/>
                <w:noProof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2433600" cy="1825200"/>
                  <wp:effectExtent l="0" t="0" r="508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1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00" cy="18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D91" w:rsidRPr="00D97BF0" w:rsidRDefault="00DC4D91" w:rsidP="00127341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而本縣各衛生所也提供二代戒菸服務，請吸菸者趕快持健保卡前往金城鎮衛生所、金寧鄉衛生所、金沙鎮衛生所、</w:t>
      </w:r>
      <w:r w:rsidR="001C5915">
        <w:rPr>
          <w:rFonts w:ascii="標楷體" w:eastAsia="標楷體" w:hAnsi="標楷體" w:hint="eastAsia"/>
          <w:color w:val="000000"/>
          <w:kern w:val="0"/>
          <w:szCs w:val="24"/>
        </w:rPr>
        <w:t>金湖鎮衛生所、烈嶼鄉衛生所</w:t>
      </w:r>
      <w:r>
        <w:rPr>
          <w:rFonts w:ascii="標楷體" w:eastAsia="標楷體" w:hAnsi="標楷體" w:hint="eastAsia"/>
          <w:color w:val="000000"/>
          <w:kern w:val="0"/>
          <w:szCs w:val="24"/>
        </w:rPr>
        <w:t>善用二代戒菸服務</w:t>
      </w:r>
      <w:r w:rsidR="001C5915">
        <w:rPr>
          <w:rFonts w:ascii="標楷體" w:eastAsia="標楷體" w:hAnsi="標楷體" w:hint="eastAsia"/>
          <w:color w:val="000000"/>
          <w:kern w:val="0"/>
          <w:szCs w:val="24"/>
        </w:rPr>
        <w:t>，二代戒菸服務在金門縣的醫療院所是完全免費的喔，各</w:t>
      </w:r>
      <w:proofErr w:type="gramStart"/>
      <w:r w:rsidR="001C5915">
        <w:rPr>
          <w:rFonts w:ascii="標楷體" w:eastAsia="標楷體" w:hAnsi="標楷體" w:hint="eastAsia"/>
          <w:color w:val="000000"/>
          <w:kern w:val="0"/>
          <w:szCs w:val="24"/>
        </w:rPr>
        <w:t>院所診次</w:t>
      </w:r>
      <w:proofErr w:type="gramEnd"/>
      <w:r w:rsidR="001C5915">
        <w:rPr>
          <w:rFonts w:ascii="標楷體" w:eastAsia="標楷體" w:hAnsi="標楷體" w:hint="eastAsia"/>
          <w:color w:val="000000"/>
          <w:kern w:val="0"/>
          <w:szCs w:val="24"/>
        </w:rPr>
        <w:t>有限，請有意戒菸者把握機會。</w:t>
      </w:r>
      <w:r w:rsidR="005B7FA8">
        <w:rPr>
          <w:rFonts w:ascii="標楷體" w:eastAsia="標楷體" w:hAnsi="標楷體" w:hint="eastAsia"/>
          <w:color w:val="000000"/>
          <w:kern w:val="0"/>
          <w:szCs w:val="24"/>
        </w:rPr>
        <w:t>另外吸菸者也可以隨時撥打免費戒菸專線0800-636363，將有專人提供免費的戒菸諮詢。</w:t>
      </w:r>
    </w:p>
    <w:sectPr w:rsidR="00DC4D91" w:rsidRPr="00D97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0E"/>
    <w:rsid w:val="0002621E"/>
    <w:rsid w:val="0009330E"/>
    <w:rsid w:val="000A7E6C"/>
    <w:rsid w:val="00127341"/>
    <w:rsid w:val="0014611B"/>
    <w:rsid w:val="001C5915"/>
    <w:rsid w:val="002E56CD"/>
    <w:rsid w:val="00510F10"/>
    <w:rsid w:val="005B7FA8"/>
    <w:rsid w:val="008E4DDA"/>
    <w:rsid w:val="00915C8C"/>
    <w:rsid w:val="00B02CF9"/>
    <w:rsid w:val="00C50E0D"/>
    <w:rsid w:val="00D97BF0"/>
    <w:rsid w:val="00DC4D91"/>
    <w:rsid w:val="00E55C65"/>
    <w:rsid w:val="00E74B7C"/>
    <w:rsid w:val="00E819F6"/>
    <w:rsid w:val="00ED2CF9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19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1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2014-10-28T09:55:00Z</dcterms:created>
  <dcterms:modified xsi:type="dcterms:W3CDTF">2014-10-29T02:02:00Z</dcterms:modified>
</cp:coreProperties>
</file>