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54"/>
        <w:gridCol w:w="554"/>
        <w:gridCol w:w="1543"/>
        <w:gridCol w:w="2588"/>
        <w:gridCol w:w="2971"/>
      </w:tblGrid>
      <w:tr w:rsidR="00000000">
        <w:trPr>
          <w:cantSplit/>
          <w:trHeight w:val="617"/>
        </w:trPr>
        <w:tc>
          <w:tcPr>
            <w:tcW w:w="934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jc w:val="center"/>
            </w:pPr>
            <w:bookmarkStart w:id="0" w:name="_GoBack"/>
            <w:bookmarkEnd w:id="0"/>
            <w:r>
              <w:rPr>
                <w:rFonts w:eastAsia="標楷體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-247650</wp:posOffset>
                      </wp:positionV>
                      <wp:extent cx="772795" cy="353695"/>
                      <wp:effectExtent l="127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F34D3">
                                  <w:r>
                                    <w:rPr>
                                      <w:rFonts w:eastAsia="標楷體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4pt;margin-top:-19.5pt;width:60.85pt;height:27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" stroked="f">
                      <v:textbox inset="0,0,0,0">
                        <w:txbxContent>
                          <w:p w:rsidR="00000000" w:rsidRDefault="002F34D3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32"/>
              </w:rPr>
              <w:t>110</w:t>
            </w:r>
            <w:r>
              <w:rPr>
                <w:rFonts w:eastAsia="標楷體"/>
                <w:color w:val="000000"/>
                <w:sz w:val="32"/>
              </w:rPr>
              <w:t>年民防團隊常年訓練督評日期表</w:t>
            </w:r>
          </w:p>
        </w:tc>
      </w:tr>
      <w:tr w:rsidR="00000000">
        <w:trPr>
          <w:cantSplit/>
          <w:trHeight w:val="465"/>
        </w:trPr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期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單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位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受檢類組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督評單位</w:t>
            </w:r>
          </w:p>
        </w:tc>
      </w:tr>
      <w:tr w:rsidR="00000000">
        <w:trPr>
          <w:cantSplit/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日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34"/>
                <w:sz w:val="28"/>
              </w:rPr>
              <w:t>星期</w:t>
            </w: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</w:tr>
      <w:tr w:rsidR="00000000">
        <w:trPr>
          <w:cantSplit/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110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四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屏東縣政府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>
            <w:pPr>
              <w:spacing w:line="360" w:lineRule="exact"/>
              <w:ind w:left="476" w:hanging="476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ab/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行政院全民防衛動員準備業務會報</w:t>
            </w:r>
          </w:p>
          <w:p w:rsidR="00000000" w:rsidRDefault="002F34D3">
            <w:pPr>
              <w:spacing w:line="360" w:lineRule="exact"/>
              <w:ind w:left="476" w:hanging="476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ab/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臺閩全民戰力綜合協調會報</w:t>
            </w:r>
          </w:p>
          <w:p w:rsidR="00000000" w:rsidRDefault="002F34D3">
            <w:pPr>
              <w:spacing w:line="360" w:lineRule="exact"/>
              <w:ind w:left="476" w:hanging="476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ab/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內政部動員準備業務會報</w:t>
            </w:r>
          </w:p>
          <w:p w:rsidR="00000000" w:rsidRDefault="002F34D3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ab/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內政部警政署</w:t>
            </w:r>
          </w:p>
          <w:p w:rsidR="00000000" w:rsidRDefault="002F34D3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、衛生福利部</w:t>
            </w:r>
          </w:p>
          <w:p w:rsidR="00000000" w:rsidRDefault="002F34D3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附註：民防總隊其餘各任務大隊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站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、民防團、民防分團及防護團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聯合防護團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各項編訓資料亦應準備受檢。</w:t>
            </w:r>
          </w:p>
        </w:tc>
      </w:tr>
      <w:tr w:rsidR="00000000">
        <w:trPr>
          <w:cantSplit/>
          <w:trHeight w:val="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五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金門縣政府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五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宜蘭縣政府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臺南市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高雄市政府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臺東縣政府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四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花蓮縣政府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臺中市政府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四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南投縣政府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雲林縣政府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四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彰化縣政府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五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苗栗縣政府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五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澎湖縣政府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29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嘉義縣政府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四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嘉義市政府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桃園市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新北市政府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四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臺北市政府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五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基隆市政府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新竹縣政府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民防團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五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新竹市政府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  <w:tr w:rsidR="00000000">
        <w:trPr>
          <w:cantSplit/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29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五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連江縣政府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F34D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戰時災民收容救濟站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F34D3"/>
        </w:tc>
      </w:tr>
    </w:tbl>
    <w:p w:rsidR="002F34D3" w:rsidRDefault="002F34D3">
      <w:pPr>
        <w:spacing w:line="20" w:lineRule="exact"/>
      </w:pPr>
    </w:p>
    <w:sectPr w:rsidR="002F34D3">
      <w:pgSz w:w="11906" w:h="16838"/>
      <w:pgMar w:top="851" w:right="1191" w:bottom="454" w:left="1418" w:header="720" w:footer="720" w:gutter="0"/>
      <w:cols w:space="720"/>
      <w:docGrid w:type="lines" w:linePitch="507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D3"/>
    <w:rsid w:val="002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/>
      <w:sz w:val="3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索引"/>
    <w:basedOn w:val="a"/>
    <w:pPr>
      <w:suppressLineNumbers/>
    </w:pPr>
    <w:rPr>
      <w:rFonts w:cs="Ari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框架內容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/>
      <w:sz w:val="3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索引"/>
    <w:basedOn w:val="a"/>
    <w:pPr>
      <w:suppressLineNumbers/>
    </w:pPr>
    <w:rPr>
      <w:rFonts w:cs="Ari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框架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8.4.1&#38450;&#27835;&#31185;&#26989;&#21209;\&#24120;&#24180;&#35347;&#32244;\110&#24180;&#24120;&#24180;&#35347;&#32244;\&#37329;&#38272;&#32291;109&#24180;&#27665;&#38450;&#22296;&#38538;&#24120;&#24180;&#35347;&#32244;&#35336;&#30059;\&#38468;&#20214;2-110&#24180;&#27665;&#38450;&#22296;&#38538;&#24120;&#24180;&#35347;&#32244;&#30563;&#35413;&#26085;&#2639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附件2-110年民防團隊常年訓練督評日期表.dot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95年度民防團隊基本訓練督導日程表</dc:title>
  <dc:creator>蔡聰榮</dc:creator>
  <cp:lastModifiedBy>蔡聰榮</cp:lastModifiedBy>
  <cp:revision>1</cp:revision>
  <cp:lastPrinted>2011-12-21T06:49:00Z</cp:lastPrinted>
  <dcterms:created xsi:type="dcterms:W3CDTF">2021-05-11T05:53:00Z</dcterms:created>
  <dcterms:modified xsi:type="dcterms:W3CDTF">2021-05-11T05:54:00Z</dcterms:modified>
</cp:coreProperties>
</file>