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08" w:rsidRPr="00816B48" w:rsidRDefault="003E4C72" w:rsidP="005342B2">
      <w:pPr>
        <w:pStyle w:val="af"/>
        <w:widowControl w:val="0"/>
        <w:kinsoku w:val="0"/>
        <w:overflowPunct w:val="0"/>
        <w:autoSpaceDE w:val="0"/>
        <w:autoSpaceDN w:val="0"/>
        <w:spacing w:line="460" w:lineRule="exact"/>
        <w:ind w:firstLineChars="200" w:firstLine="720"/>
        <w:rPr>
          <w:rFonts w:ascii="標楷體" w:hAnsi="標楷體"/>
          <w:color w:val="000000"/>
          <w:sz w:val="36"/>
          <w:szCs w:val="36"/>
        </w:rPr>
      </w:pPr>
      <w:r w:rsidRPr="00816B48">
        <w:rPr>
          <w:rFonts w:ascii="標楷體" w:hAnsi="標楷體" w:hint="eastAsia"/>
          <w:color w:val="000000"/>
          <w:sz w:val="36"/>
          <w:szCs w:val="36"/>
        </w:rPr>
        <w:t>金門</w:t>
      </w:r>
      <w:r w:rsidR="00EB0B72" w:rsidRPr="00816B48">
        <w:rPr>
          <w:rFonts w:ascii="標楷體" w:hAnsi="標楷體" w:hint="eastAsia"/>
          <w:color w:val="000000"/>
          <w:sz w:val="36"/>
          <w:szCs w:val="36"/>
        </w:rPr>
        <w:t>縣</w:t>
      </w:r>
      <w:r w:rsidR="00707025" w:rsidRPr="00816B48">
        <w:rPr>
          <w:rFonts w:ascii="標楷體" w:hAnsi="標楷體" w:hint="eastAsia"/>
          <w:color w:val="000000"/>
          <w:sz w:val="36"/>
          <w:szCs w:val="36"/>
        </w:rPr>
        <w:t>警察局性騷擾防治</w:t>
      </w:r>
      <w:r w:rsidR="00D4176F" w:rsidRPr="00816B48">
        <w:rPr>
          <w:rFonts w:ascii="標楷體" w:hAnsi="標楷體" w:hint="eastAsia"/>
          <w:color w:val="000000"/>
          <w:sz w:val="36"/>
          <w:szCs w:val="36"/>
        </w:rPr>
        <w:t>措施及</w:t>
      </w:r>
      <w:r w:rsidR="00707025" w:rsidRPr="00816B48">
        <w:rPr>
          <w:rFonts w:ascii="標楷體" w:hAnsi="標楷體" w:hint="eastAsia"/>
          <w:color w:val="000000"/>
          <w:sz w:val="36"/>
          <w:szCs w:val="36"/>
        </w:rPr>
        <w:t>申訴處理要點</w:t>
      </w:r>
    </w:p>
    <w:p w:rsidR="00E07C7C" w:rsidRPr="006D5908" w:rsidRDefault="00E07C7C" w:rsidP="00E07C7C">
      <w:pPr>
        <w:pStyle w:val="af"/>
        <w:widowControl w:val="0"/>
        <w:kinsoku w:val="0"/>
        <w:overflowPunct w:val="0"/>
        <w:autoSpaceDE w:val="0"/>
        <w:autoSpaceDN w:val="0"/>
        <w:spacing w:line="460" w:lineRule="exact"/>
        <w:jc w:val="right"/>
        <w:rPr>
          <w:rFonts w:ascii="標楷體" w:hAnsi="標楷體"/>
          <w:szCs w:val="24"/>
        </w:rPr>
      </w:pPr>
      <w:r w:rsidRPr="00AC4280">
        <w:rPr>
          <w:rFonts w:ascii="標楷體" w:hAnsi="標楷體" w:hint="eastAsia"/>
          <w:bCs/>
          <w:sz w:val="20"/>
        </w:rPr>
        <w:t>107年</w:t>
      </w:r>
      <w:r w:rsidR="005342B2">
        <w:rPr>
          <w:rFonts w:ascii="標楷體" w:hAnsi="標楷體" w:hint="eastAsia"/>
          <w:bCs/>
          <w:sz w:val="20"/>
        </w:rPr>
        <w:t>8</w:t>
      </w:r>
      <w:r w:rsidRPr="00AC4280">
        <w:rPr>
          <w:rFonts w:ascii="標楷體" w:hAnsi="標楷體" w:hint="eastAsia"/>
          <w:bCs/>
          <w:sz w:val="20"/>
        </w:rPr>
        <w:t>月</w:t>
      </w:r>
      <w:r w:rsidR="005342B2">
        <w:rPr>
          <w:rFonts w:ascii="標楷體" w:hAnsi="標楷體" w:hint="eastAsia"/>
          <w:bCs/>
          <w:sz w:val="20"/>
        </w:rPr>
        <w:t>27</w:t>
      </w:r>
      <w:r w:rsidRPr="00AC4280">
        <w:rPr>
          <w:rFonts w:ascii="標楷體" w:hAnsi="標楷體" w:hint="eastAsia"/>
          <w:bCs/>
          <w:sz w:val="20"/>
        </w:rPr>
        <w:t>日金警</w:t>
      </w:r>
      <w:r w:rsidR="00F87446">
        <w:rPr>
          <w:rFonts w:ascii="標楷體" w:hAnsi="標楷體" w:hint="eastAsia"/>
          <w:bCs/>
          <w:sz w:val="20"/>
        </w:rPr>
        <w:t>督</w:t>
      </w:r>
      <w:r w:rsidRPr="00AC4280">
        <w:rPr>
          <w:rFonts w:ascii="標楷體" w:hAnsi="標楷體" w:hint="eastAsia"/>
          <w:bCs/>
          <w:sz w:val="20"/>
        </w:rPr>
        <w:t>字第</w:t>
      </w:r>
      <w:r w:rsidR="005342B2">
        <w:rPr>
          <w:rFonts w:ascii="標楷體" w:hAnsi="標楷體" w:hint="eastAsia"/>
          <w:bCs/>
          <w:sz w:val="20"/>
        </w:rPr>
        <w:t>1070016966</w:t>
      </w:r>
      <w:r w:rsidRPr="00AC4280">
        <w:rPr>
          <w:rFonts w:ascii="標楷體" w:hAnsi="標楷體" w:hint="eastAsia"/>
          <w:bCs/>
          <w:sz w:val="20"/>
        </w:rPr>
        <w:t>號函訂定</w:t>
      </w:r>
    </w:p>
    <w:p w:rsidR="000D7AA2" w:rsidRPr="008B5706" w:rsidRDefault="003E4C72" w:rsidP="00C56A2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金門</w:t>
      </w:r>
      <w:r w:rsidR="00EB0DE3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警察局（以下簡稱本局）為提供免於性騷擾之工作及服務環境，並採取適當之預防、糾正、懲</w:t>
      </w:r>
      <w:r w:rsidR="00761C30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戒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及處理措施，以維護當事人權益及隱私，特依性騷擾防治法、性別工作平等法</w:t>
      </w:r>
      <w:r w:rsidR="003E431C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、性騷擾防治準則及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工作場所性騷擾防治措施申訴及懲戒辦法訂定準則</w:t>
      </w:r>
      <w:r w:rsidR="003E431C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70702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，訂定本要點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3ECB" w:rsidRPr="008B5706" w:rsidRDefault="00C03ECB" w:rsidP="009D617F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0702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要點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所稱性騷擾，係指下</w:t>
      </w:r>
      <w:r w:rsidR="000D7AA2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列情形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者：</w:t>
      </w:r>
    </w:p>
    <w:p w:rsidR="002D5941" w:rsidRPr="008B5706" w:rsidRDefault="002D5941" w:rsidP="009D617F">
      <w:pPr>
        <w:pStyle w:val="a3"/>
        <w:numPr>
          <w:ilvl w:val="0"/>
          <w:numId w:val="9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性騷擾防治法第二條所規範之性騷擾行為。</w:t>
      </w:r>
    </w:p>
    <w:p w:rsidR="00C56A2A" w:rsidRPr="008B5706" w:rsidRDefault="002D5941" w:rsidP="00C56A2A">
      <w:pPr>
        <w:pStyle w:val="a3"/>
        <w:numPr>
          <w:ilvl w:val="0"/>
          <w:numId w:val="9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性別工作平等法第十二條所規範之性騷擾行為。</w:t>
      </w:r>
    </w:p>
    <w:p w:rsidR="005402BD" w:rsidRPr="008B5706" w:rsidRDefault="00C14AF5" w:rsidP="003248AD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right="-2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/>
          <w:color w:val="000000" w:themeColor="text1"/>
          <w:sz w:val="28"/>
          <w:szCs w:val="28"/>
        </w:rPr>
        <w:t>應防治性騷擾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Pr="008B5706">
        <w:rPr>
          <w:rFonts w:ascii="標楷體" w:eastAsia="標楷體" w:hAnsi="標楷體"/>
          <w:color w:val="000000" w:themeColor="text1"/>
          <w:sz w:val="28"/>
          <w:szCs w:val="28"/>
        </w:rPr>
        <w:t>為之發生，建立友善的工作環境，消除工作環境內</w:t>
      </w:r>
      <w:r w:rsidR="003248AD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8B5706">
        <w:rPr>
          <w:rFonts w:ascii="標楷體" w:eastAsia="標楷體" w:hAnsi="標楷體"/>
          <w:color w:val="000000" w:themeColor="text1"/>
          <w:sz w:val="28"/>
          <w:szCs w:val="28"/>
        </w:rPr>
        <w:t>源自於性或性別的敵意因素，以保護員工或受服務人員不受性騷擾之威脅</w:t>
      </w:r>
      <w:r w:rsidR="003418DF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，並作</w:t>
      </w:r>
      <w:r w:rsidR="005402BD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政策宣示如下：</w:t>
      </w:r>
    </w:p>
    <w:p w:rsidR="005402BD" w:rsidRPr="008B5706" w:rsidRDefault="005402BD" w:rsidP="005402BD">
      <w:pPr>
        <w:pStyle w:val="a3"/>
        <w:numPr>
          <w:ilvl w:val="0"/>
          <w:numId w:val="18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保障性別工作權之平等，消除性別歧視、促進性別地位實質平等。</w:t>
      </w:r>
    </w:p>
    <w:p w:rsidR="005402BD" w:rsidRPr="008B5706" w:rsidRDefault="005402BD" w:rsidP="005402BD">
      <w:pPr>
        <w:pStyle w:val="a3"/>
        <w:numPr>
          <w:ilvl w:val="0"/>
          <w:numId w:val="18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各項福利措施，不得因性別或性傾向而有差別待遇。</w:t>
      </w:r>
    </w:p>
    <w:p w:rsidR="005402BD" w:rsidRPr="008B5706" w:rsidRDefault="005402BD" w:rsidP="005402BD">
      <w:pPr>
        <w:pStyle w:val="a3"/>
        <w:numPr>
          <w:ilvl w:val="0"/>
          <w:numId w:val="18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/>
          <w:color w:val="000000" w:themeColor="text1"/>
          <w:sz w:val="28"/>
          <w:szCs w:val="28"/>
        </w:rPr>
        <w:t>任何人不得對他人性騷擾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02BD" w:rsidRPr="008B5706" w:rsidRDefault="005402BD" w:rsidP="005402BD">
      <w:pPr>
        <w:pStyle w:val="a3"/>
        <w:numPr>
          <w:ilvl w:val="0"/>
          <w:numId w:val="18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發現或知悉</w:t>
      </w:r>
      <w:r w:rsidRPr="008B5706">
        <w:rPr>
          <w:rFonts w:ascii="標楷體" w:eastAsia="標楷體" w:hAnsi="標楷體"/>
          <w:color w:val="000000" w:themeColor="text1"/>
          <w:sz w:val="28"/>
          <w:szCs w:val="28"/>
        </w:rPr>
        <w:t>性騷擾事件，請立即撥打本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Pr="008B5706">
        <w:rPr>
          <w:rFonts w:ascii="標楷體" w:eastAsia="標楷體" w:hAnsi="標楷體"/>
          <w:color w:val="000000" w:themeColor="text1"/>
          <w:sz w:val="28"/>
          <w:szCs w:val="28"/>
        </w:rPr>
        <w:t>性騷擾申訴專線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35ABD" w:rsidRPr="008B5706" w:rsidRDefault="00D22261" w:rsidP="006E7943">
      <w:pPr>
        <w:tabs>
          <w:tab w:val="left" w:pos="567"/>
        </w:tabs>
        <w:spacing w:line="460" w:lineRule="exact"/>
        <w:ind w:left="564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E7943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proofErr w:type="gramStart"/>
      <w:r w:rsidR="006E7943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5402BD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尊重人權落實性別平等，提供員工及來訪民眾一個免於性暴</w:t>
      </w:r>
      <w:r w:rsidR="00935ABD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E2046" w:rsidRPr="008B5706" w:rsidRDefault="00935ABD" w:rsidP="006E7943">
      <w:pPr>
        <w:tabs>
          <w:tab w:val="left" w:pos="567"/>
        </w:tabs>
        <w:spacing w:line="460" w:lineRule="exact"/>
        <w:ind w:left="564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5402BD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力之環境。</w:t>
      </w:r>
    </w:p>
    <w:p w:rsidR="005F3C20" w:rsidRPr="008B5706" w:rsidRDefault="00FE4DCB" w:rsidP="003248AD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right="-2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6E7943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實施防治工作場所性騷擾之教育訓練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E7943" w:rsidRPr="008B5706">
        <w:rPr>
          <w:rFonts w:ascii="標楷體" w:eastAsia="標楷體" w:hAnsi="標楷體" w:cs="BiauKai" w:hint="eastAsia"/>
          <w:color w:val="000000" w:themeColor="text1"/>
          <w:kern w:val="0"/>
          <w:sz w:val="28"/>
          <w:szCs w:val="28"/>
        </w:rPr>
        <w:t>鼓勵員工參與性騷擾防治相關教育訓練，並規劃性別平權及性騷擾防治相關課程</w:t>
      </w:r>
      <w:r w:rsidR="006E7943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，及將相關資訊於工作場所顯著之處公開揭示。</w:t>
      </w:r>
    </w:p>
    <w:p w:rsidR="00C03ECB" w:rsidRPr="008B5706" w:rsidRDefault="00C03ECB" w:rsidP="009D617F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知悉有</w:t>
      </w:r>
      <w:r w:rsidR="00C14AF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性騷擾之情形時，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應採取立即且有效之糾正及補救措施，並注意下列事項：</w:t>
      </w:r>
    </w:p>
    <w:p w:rsidR="00C03ECB" w:rsidRPr="008B5706" w:rsidRDefault="00C03ECB" w:rsidP="00F1141B">
      <w:pPr>
        <w:pStyle w:val="a3"/>
        <w:numPr>
          <w:ilvl w:val="0"/>
          <w:numId w:val="11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保護被害人之權益及隱私。</w:t>
      </w:r>
    </w:p>
    <w:p w:rsidR="00F1141B" w:rsidRPr="008B5706" w:rsidRDefault="00F1141B" w:rsidP="00F1141B">
      <w:pPr>
        <w:pStyle w:val="a3"/>
        <w:numPr>
          <w:ilvl w:val="0"/>
          <w:numId w:val="11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對所屬場域空間安全之維護或改善。</w:t>
      </w:r>
    </w:p>
    <w:p w:rsidR="00F1141B" w:rsidRPr="008B5706" w:rsidRDefault="00F1141B" w:rsidP="00F1141B">
      <w:pPr>
        <w:pStyle w:val="a3"/>
        <w:numPr>
          <w:ilvl w:val="0"/>
          <w:numId w:val="11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對行為人之懲處。</w:t>
      </w:r>
    </w:p>
    <w:p w:rsidR="00F1141B" w:rsidRPr="008B5706" w:rsidRDefault="00F1141B" w:rsidP="00F1141B">
      <w:pPr>
        <w:pStyle w:val="a3"/>
        <w:numPr>
          <w:ilvl w:val="0"/>
          <w:numId w:val="11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其他防治及改善措施。</w:t>
      </w:r>
    </w:p>
    <w:p w:rsidR="00C14AF5" w:rsidRPr="008B5706" w:rsidRDefault="00C03ECB" w:rsidP="009D617F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為受理性騷擾申訴及調查案件，設置性騷擾</w:t>
      </w:r>
      <w:r w:rsidR="00843984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防治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申訴</w:t>
      </w:r>
      <w:r w:rsidR="00843984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案件調查小組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（以下簡稱</w:t>
      </w:r>
      <w:r w:rsidR="00843984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調查小組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），</w:t>
      </w:r>
      <w:r w:rsidR="003248AD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設</w:t>
      </w:r>
      <w:r w:rsidR="00774499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置委員九人至十七人，其中</w:t>
      </w:r>
      <w:proofErr w:type="gramStart"/>
      <w:r w:rsidR="00774499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774499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人為召集人，由本局副局長兼任，並為會議主席</w:t>
      </w:r>
      <w:r w:rsidR="00FE4DCB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，主席因故無法主持會議時，得指定委員代理；除督察</w:t>
      </w:r>
      <w:r w:rsidR="00C133B3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長</w:t>
      </w:r>
      <w:r w:rsidR="00FE4DCB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、人事室</w:t>
      </w:r>
      <w:r w:rsidR="00C133B3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主任</w:t>
      </w:r>
      <w:r w:rsidR="00FE4DCB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及少年</w:t>
      </w:r>
      <w:r w:rsidR="00774499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警察隊</w:t>
      </w:r>
      <w:r w:rsidR="00C133B3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隊長</w:t>
      </w:r>
      <w:r w:rsidR="00541A2A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為</w:t>
      </w:r>
      <w:r w:rsidR="00774499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當然委員外，其餘委員由局長</w:t>
      </w:r>
      <w:r w:rsidR="003248AD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指派</w:t>
      </w:r>
      <w:r w:rsidR="00774499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本局職員</w:t>
      </w:r>
      <w:r w:rsidR="003248AD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及</w:t>
      </w:r>
      <w:r w:rsidR="00C133B3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聘任</w:t>
      </w:r>
      <w:r w:rsidR="00774499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社會公正人士</w:t>
      </w:r>
      <w:r w:rsidR="003248AD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或</w:t>
      </w:r>
      <w:r w:rsidR="00774499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專家學者</w:t>
      </w:r>
      <w:r w:rsidR="00541A2A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擔任</w:t>
      </w:r>
      <w:r w:rsidR="00774499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，女性委員不得少於二分之一。</w:t>
      </w:r>
    </w:p>
    <w:p w:rsidR="00A224C7" w:rsidRPr="008B5706" w:rsidRDefault="00B8649E" w:rsidP="00B8649E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調查小組委員任期二年，期滿得續</w:t>
      </w:r>
      <w:r w:rsidR="00541A2A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。任期內出缺時，繼任委員至原任期屆滿之日止，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</w:t>
      </w:r>
      <w:proofErr w:type="gramEnd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給職。由本局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督察科綜理</w:t>
      </w:r>
      <w:proofErr w:type="gramEnd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行政幕僚作業；但本局職員以外之委員撰寫調查報告書，得依規定支給撰稿費；出席會議時，得依規定支給出席費及交通費。</w:t>
      </w:r>
    </w:p>
    <w:p w:rsidR="00032BD7" w:rsidRPr="008B5706" w:rsidRDefault="00032BD7" w:rsidP="00032BD7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受理性騷擾申訴之管道如下：</w:t>
      </w:r>
    </w:p>
    <w:p w:rsidR="00032BD7" w:rsidRPr="008B5706" w:rsidRDefault="00032BD7" w:rsidP="00032BD7">
      <w:pPr>
        <w:pStyle w:val="a3"/>
        <w:tabs>
          <w:tab w:val="left" w:pos="567"/>
        </w:tabs>
        <w:spacing w:line="460" w:lineRule="exact"/>
        <w:ind w:leftChars="0" w:left="426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（一）</w:t>
      </w: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ab/>
        <w:t>受理單位：本局督察科。</w:t>
      </w:r>
    </w:p>
    <w:p w:rsidR="00032BD7" w:rsidRPr="008B5706" w:rsidRDefault="00032BD7" w:rsidP="00032BD7">
      <w:pPr>
        <w:pStyle w:val="a3"/>
        <w:tabs>
          <w:tab w:val="left" w:pos="567"/>
        </w:tabs>
        <w:spacing w:line="460" w:lineRule="exact"/>
        <w:ind w:leftChars="0" w:left="426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（二）</w:t>
      </w: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ab/>
        <w:t>申訴電話：(082)325350。</w:t>
      </w:r>
    </w:p>
    <w:p w:rsidR="00032BD7" w:rsidRPr="008B5706" w:rsidRDefault="00032BD7" w:rsidP="00032BD7">
      <w:pPr>
        <w:pStyle w:val="a3"/>
        <w:tabs>
          <w:tab w:val="left" w:pos="567"/>
        </w:tabs>
        <w:spacing w:line="460" w:lineRule="exact"/>
        <w:ind w:leftChars="0" w:left="426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（三）</w:t>
      </w: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ab/>
        <w:t>申訴傳真：(082)324327。</w:t>
      </w:r>
    </w:p>
    <w:p w:rsidR="00032BD7" w:rsidRPr="008B5706" w:rsidRDefault="00032BD7" w:rsidP="00032BD7">
      <w:pPr>
        <w:pStyle w:val="a3"/>
        <w:tabs>
          <w:tab w:val="left" w:pos="567"/>
        </w:tabs>
        <w:spacing w:line="460" w:lineRule="exact"/>
        <w:ind w:leftChars="0" w:left="426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（四）</w:t>
      </w: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ab/>
        <w:t>申訴電子信箱：supervis@mail.kpb.gov.tw。</w:t>
      </w:r>
    </w:p>
    <w:p w:rsidR="000D0BEC" w:rsidRPr="008B5706" w:rsidRDefault="00032BD7" w:rsidP="00A83A1C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性騷擾事件</w:t>
      </w:r>
      <w:r w:rsidR="000D0BEC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由督察科先行調查，並擬具調查意見，送請召集人指定之委員初審。</w:t>
      </w:r>
    </w:p>
    <w:p w:rsidR="000D0BEC" w:rsidRPr="008B5706" w:rsidRDefault="000D0BEC" w:rsidP="00032BD7">
      <w:pPr>
        <w:pStyle w:val="a3"/>
        <w:tabs>
          <w:tab w:val="left" w:pos="567"/>
        </w:tabs>
        <w:spacing w:line="460" w:lineRule="exact"/>
        <w:ind w:leftChars="0" w:left="567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召集人指定之委員於詳閱卷證、</w:t>
      </w:r>
      <w:proofErr w:type="gramStart"/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研</w:t>
      </w:r>
      <w:proofErr w:type="gramEnd"/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析事實及應行適用之法規後，核</w:t>
      </w:r>
    </w:p>
    <w:p w:rsidR="0014386A" w:rsidRPr="008B5706" w:rsidRDefault="000D0BEC" w:rsidP="000D0BEC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cs="細明體" w:hint="eastAsia"/>
          <w:i/>
          <w:color w:val="000000" w:themeColor="text1"/>
          <w:kern w:val="0"/>
          <w:sz w:val="28"/>
          <w:szCs w:val="28"/>
        </w:rPr>
        <w:t xml:space="preserve">    </w:t>
      </w: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提初審意見，供本調查小組開會審查。</w:t>
      </w:r>
    </w:p>
    <w:p w:rsidR="000E5EBD" w:rsidRPr="008B5706" w:rsidRDefault="000E5EBD" w:rsidP="00032BD7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right="-2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性騷擾之申訴得以書面或言詞提出。其以言詞為之者，受理之人員或單位應作成紀錄，經向申訴人朗讀或使其閱覽，確認其內容無誤後，由其簽名或蓋章。</w:t>
      </w:r>
    </w:p>
    <w:p w:rsidR="00C03ECB" w:rsidRPr="008B5706" w:rsidRDefault="000E5EBD" w:rsidP="009D617F">
      <w:pPr>
        <w:pStyle w:val="a3"/>
        <w:spacing w:line="46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申訴書或言詞作成之紀錄，應載明下列事項：</w:t>
      </w:r>
    </w:p>
    <w:p w:rsidR="00C03ECB" w:rsidRPr="008B5706" w:rsidRDefault="00C03ECB" w:rsidP="00CD6982">
      <w:pPr>
        <w:pStyle w:val="a3"/>
        <w:numPr>
          <w:ilvl w:val="0"/>
          <w:numId w:val="12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申訴人之姓名、性別、</w:t>
      </w:r>
      <w:r w:rsidR="005F037F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出生年月日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F037F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身分證統一編號或護照號碼、服務或就學之單位及職稱、住所或居所</w:t>
      </w:r>
      <w:r w:rsidR="005F037F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聯絡電話。</w:t>
      </w:r>
    </w:p>
    <w:p w:rsidR="00CD6982" w:rsidRPr="008B5706" w:rsidRDefault="00CD6982" w:rsidP="00CD6982">
      <w:pPr>
        <w:pStyle w:val="a3"/>
        <w:numPr>
          <w:ilvl w:val="0"/>
          <w:numId w:val="12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有法定代理人者，其姓名、性別、出生年月日、國民身分證統一編號或護照號碼、職業、住所或居所及聯絡電話。</w:t>
      </w:r>
    </w:p>
    <w:p w:rsidR="00CD6982" w:rsidRPr="008B5706" w:rsidRDefault="00CD6982" w:rsidP="00CD6982">
      <w:pPr>
        <w:pStyle w:val="a3"/>
        <w:numPr>
          <w:ilvl w:val="0"/>
          <w:numId w:val="12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有委任代理人者，其姓名、性別、出生年月日、國民身分證統一編號或護照號碼、職業、住所或居所及聯絡電話，並應檢附委任書。</w:t>
      </w:r>
    </w:p>
    <w:p w:rsidR="00CD6982" w:rsidRPr="008B5706" w:rsidRDefault="00CD6982" w:rsidP="00CD6982">
      <w:pPr>
        <w:pStyle w:val="a3"/>
        <w:numPr>
          <w:ilvl w:val="0"/>
          <w:numId w:val="12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申訴之事實內容或相關證據。</w:t>
      </w:r>
    </w:p>
    <w:p w:rsidR="00CD6982" w:rsidRPr="008B5706" w:rsidRDefault="00CD6982" w:rsidP="00CD6982">
      <w:pPr>
        <w:pStyle w:val="a3"/>
        <w:numPr>
          <w:ilvl w:val="0"/>
          <w:numId w:val="12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年月日。</w:t>
      </w:r>
    </w:p>
    <w:p w:rsidR="00C14AF5" w:rsidRPr="008B5706" w:rsidRDefault="00C03ECB" w:rsidP="009D617F">
      <w:pPr>
        <w:pStyle w:val="a3"/>
        <w:spacing w:line="46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申訴書或言詞作成之紀錄不合前項規定而可補正者，應通知申訴人於</w:t>
      </w:r>
      <w:r w:rsidR="00771A2D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十四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日內補正</w:t>
      </w:r>
      <w:r w:rsidR="00C14AF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3ECB" w:rsidRPr="008B5706" w:rsidRDefault="00C03ECB" w:rsidP="009D617F">
      <w:pPr>
        <w:pStyle w:val="a3"/>
        <w:numPr>
          <w:ilvl w:val="0"/>
          <w:numId w:val="1"/>
        </w:numPr>
        <w:tabs>
          <w:tab w:val="left" w:pos="204"/>
          <w:tab w:val="left" w:pos="567"/>
        </w:tabs>
        <w:spacing w:line="46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性騷擾之申訴有下列情形之一，不予受理：</w:t>
      </w:r>
    </w:p>
    <w:p w:rsidR="005F3C20" w:rsidRPr="008B5706" w:rsidRDefault="00C03ECB" w:rsidP="00C466AB">
      <w:pPr>
        <w:pStyle w:val="a3"/>
        <w:numPr>
          <w:ilvl w:val="0"/>
          <w:numId w:val="13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申訴書或言詞作成之紀錄，未於前</w:t>
      </w:r>
      <w:r w:rsidR="008E1AB4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771A2D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項所定期限內補正者。</w:t>
      </w:r>
    </w:p>
    <w:p w:rsidR="00B54C7C" w:rsidRPr="008B5706" w:rsidRDefault="001837EA" w:rsidP="00B54C7C">
      <w:pPr>
        <w:pStyle w:val="a3"/>
        <w:numPr>
          <w:ilvl w:val="0"/>
          <w:numId w:val="13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同一事件已調查完畢</w:t>
      </w:r>
      <w:r w:rsidR="00B54C7C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並將調查結果函復當事人者。</w:t>
      </w:r>
    </w:p>
    <w:p w:rsidR="00C466AB" w:rsidRPr="008B5706" w:rsidRDefault="002531C7" w:rsidP="009D617F">
      <w:pPr>
        <w:pStyle w:val="a3"/>
        <w:spacing w:line="460" w:lineRule="exact"/>
        <w:ind w:leftChars="0"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適用性騷擾防治法之申訴案件，有前項各款情形之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而不予受理時</w:t>
      </w:r>
    </w:p>
    <w:p w:rsidR="00C03ECB" w:rsidRPr="008B5706" w:rsidRDefault="002531C7" w:rsidP="009D617F">
      <w:pPr>
        <w:pStyle w:val="a3"/>
        <w:spacing w:line="460" w:lineRule="exact"/>
        <w:ind w:leftChars="0"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，應於申訴</w:t>
      </w:r>
      <w:r w:rsidR="003E4C72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或移送到達之日起二十日內，以書面通知當事人，並副知</w:t>
      </w:r>
      <w:r w:rsidR="00C133B3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主管機</w:t>
      </w:r>
      <w:r w:rsidR="007B46E6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關(</w:t>
      </w:r>
      <w:r w:rsidR="003E4C72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金門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縣政府</w:t>
      </w:r>
      <w:r w:rsidR="007B46E6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；其通知應敘明理由，並載明再申訴之期間及</w:t>
      </w:r>
      <w:r w:rsidR="005A543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受理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="003F29C4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(金門縣政府)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3ECB" w:rsidRPr="008B5706" w:rsidRDefault="00C03ECB" w:rsidP="009D617F">
      <w:pPr>
        <w:pStyle w:val="a3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性騷擾事件之調查有下列情形之一，調查人員應自行迴避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5F3C20" w:rsidRPr="008B5706" w:rsidRDefault="00C03ECB" w:rsidP="00737F83">
      <w:pPr>
        <w:pStyle w:val="a3"/>
        <w:numPr>
          <w:ilvl w:val="0"/>
          <w:numId w:val="14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本人或其配偶、前配偶、</w:t>
      </w:r>
      <w:r w:rsidR="00DB7882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1837EA">
        <w:rPr>
          <w:rFonts w:ascii="標楷體" w:eastAsia="標楷體" w:hAnsi="標楷體" w:hint="eastAsia"/>
          <w:color w:val="000000" w:themeColor="text1"/>
          <w:sz w:val="28"/>
          <w:szCs w:val="28"/>
        </w:rPr>
        <w:t>親等內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血親或</w:t>
      </w:r>
      <w:r w:rsidR="00DB7882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1837EA">
        <w:rPr>
          <w:rFonts w:ascii="標楷體" w:eastAsia="標楷體" w:hAnsi="標楷體" w:hint="eastAsia"/>
          <w:color w:val="000000" w:themeColor="text1"/>
          <w:sz w:val="28"/>
          <w:szCs w:val="28"/>
        </w:rPr>
        <w:t>親等內姻親或曾有此關係者為事件之當事人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37F83" w:rsidRPr="008B5706" w:rsidRDefault="00737F83" w:rsidP="00737F83">
      <w:pPr>
        <w:pStyle w:val="a3"/>
        <w:numPr>
          <w:ilvl w:val="0"/>
          <w:numId w:val="14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本人或其配偶、前配偶，就該事件與當事人有共同權利人或共同義務人之關係者。</w:t>
      </w:r>
    </w:p>
    <w:p w:rsidR="00737F83" w:rsidRPr="008B5706" w:rsidRDefault="00E07C7C" w:rsidP="00737F83">
      <w:pPr>
        <w:pStyle w:val="a3"/>
        <w:numPr>
          <w:ilvl w:val="0"/>
          <w:numId w:val="14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現為或曾為該事件當事人之代理人或</w:t>
      </w:r>
      <w:r w:rsidR="00737F83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輔佐人者。</w:t>
      </w:r>
    </w:p>
    <w:p w:rsidR="00737F83" w:rsidRPr="008B5706" w:rsidRDefault="001837EA" w:rsidP="00737F83">
      <w:pPr>
        <w:pStyle w:val="a3"/>
        <w:numPr>
          <w:ilvl w:val="0"/>
          <w:numId w:val="14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於該事件</w:t>
      </w:r>
      <w:r w:rsidR="00E07C7C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曾為證人或</w:t>
      </w:r>
      <w:r w:rsidR="00737F83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鑑定人者。</w:t>
      </w:r>
    </w:p>
    <w:p w:rsidR="00C03ECB" w:rsidRPr="008B5706" w:rsidRDefault="00C03ECB" w:rsidP="009D617F">
      <w:pPr>
        <w:pStyle w:val="a3"/>
        <w:numPr>
          <w:ilvl w:val="0"/>
          <w:numId w:val="1"/>
        </w:numPr>
        <w:tabs>
          <w:tab w:val="left" w:pos="851"/>
        </w:tabs>
        <w:spacing w:line="46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性騷擾事件之調查人員有下列情形之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者，當事人得申請迴避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5F3C20" w:rsidRPr="008B5706" w:rsidRDefault="00C03ECB" w:rsidP="00FA75E4">
      <w:pPr>
        <w:pStyle w:val="a3"/>
        <w:numPr>
          <w:ilvl w:val="0"/>
          <w:numId w:val="15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6901F3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第十</w:t>
      </w:r>
      <w:r w:rsidR="003F29C4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BD4749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="005A543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所定之情形而未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自行迴避者。</w:t>
      </w:r>
    </w:p>
    <w:p w:rsidR="00FA75E4" w:rsidRPr="008B5706" w:rsidRDefault="001837EA" w:rsidP="00FA75E4">
      <w:pPr>
        <w:pStyle w:val="a3"/>
        <w:numPr>
          <w:ilvl w:val="0"/>
          <w:numId w:val="15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有具體事實</w:t>
      </w:r>
      <w:r w:rsidR="00FA75E4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足認其執行調查有偏頗之虞者。</w:t>
      </w:r>
    </w:p>
    <w:p w:rsidR="00C03ECB" w:rsidRPr="008B5706" w:rsidRDefault="005A5435" w:rsidP="00FA75E4">
      <w:pPr>
        <w:pStyle w:val="a3"/>
        <w:spacing w:line="460" w:lineRule="exact"/>
        <w:ind w:leftChars="0"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前項申請，應列舉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原因及事實，向本</w:t>
      </w:r>
      <w:r w:rsidR="00712002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調查小組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為之，並應為適當</w:t>
      </w:r>
      <w:proofErr w:type="gramStart"/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之釋明</w:t>
      </w:r>
      <w:proofErr w:type="gramEnd"/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；被申請迴避之調查人員，對於該申請得提出意見書。</w:t>
      </w:r>
    </w:p>
    <w:p w:rsidR="00C03ECB" w:rsidRPr="008B5706" w:rsidRDefault="00C03ECB" w:rsidP="00FA75E4">
      <w:pPr>
        <w:pStyle w:val="a3"/>
        <w:spacing w:line="460" w:lineRule="exact"/>
        <w:ind w:leftChars="0"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被申請</w:t>
      </w:r>
      <w:bookmarkStart w:id="0" w:name="_GoBack"/>
      <w:bookmarkEnd w:id="0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迴避之調查人員在本</w:t>
      </w:r>
      <w:r w:rsidR="00712002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調查小組</w:t>
      </w:r>
      <w:r w:rsidR="001837EA">
        <w:rPr>
          <w:rFonts w:ascii="標楷體" w:eastAsia="標楷體" w:hAnsi="標楷體" w:hint="eastAsia"/>
          <w:color w:val="000000" w:themeColor="text1"/>
          <w:sz w:val="28"/>
          <w:szCs w:val="28"/>
        </w:rPr>
        <w:t>就該申請事件為</w:t>
      </w:r>
      <w:proofErr w:type="gramStart"/>
      <w:r w:rsidR="001837EA">
        <w:rPr>
          <w:rFonts w:ascii="標楷體" w:eastAsia="標楷體" w:hAnsi="標楷體" w:hint="eastAsia"/>
          <w:color w:val="000000" w:themeColor="text1"/>
          <w:sz w:val="28"/>
          <w:szCs w:val="28"/>
        </w:rPr>
        <w:t>准駁前</w:t>
      </w:r>
      <w:proofErr w:type="gramEnd"/>
      <w:r w:rsidR="001837EA">
        <w:rPr>
          <w:rFonts w:ascii="標楷體" w:eastAsia="標楷體" w:hAnsi="標楷體" w:hint="eastAsia"/>
          <w:color w:val="000000" w:themeColor="text1"/>
          <w:sz w:val="28"/>
          <w:szCs w:val="28"/>
        </w:rPr>
        <w:t>，應停止調查工作。但有急迫情形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仍應為必要處置。</w:t>
      </w:r>
    </w:p>
    <w:p w:rsidR="00C03ECB" w:rsidRPr="008B5706" w:rsidRDefault="00C03ECB" w:rsidP="00C466AB">
      <w:pPr>
        <w:pStyle w:val="a3"/>
        <w:spacing w:line="460" w:lineRule="exact"/>
        <w:ind w:leftChars="0"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調查人員有</w:t>
      </w:r>
      <w:r w:rsidR="006901F3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第十</w:t>
      </w:r>
      <w:r w:rsidR="003F29C4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BD4749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="00935AC0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所定情形未</w:t>
      </w:r>
      <w:r w:rsidR="00416FD7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自行迴避，且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未經當事人申請迴避者，應由</w:t>
      </w:r>
      <w:r w:rsidR="00095CF6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調查小組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命其迴避。</w:t>
      </w:r>
    </w:p>
    <w:p w:rsidR="002A640E" w:rsidRPr="008B5706" w:rsidRDefault="002531C7" w:rsidP="009D617F">
      <w:pPr>
        <w:pStyle w:val="a3"/>
        <w:numPr>
          <w:ilvl w:val="0"/>
          <w:numId w:val="1"/>
        </w:numPr>
        <w:tabs>
          <w:tab w:val="left" w:pos="851"/>
        </w:tabs>
        <w:spacing w:line="46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調查小組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申訴或移送到達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之日起</w:t>
      </w:r>
      <w:r w:rsidR="00DB7882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日內開始調查，並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B7882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個月內調查完成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必要時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得延長</w:t>
      </w:r>
      <w:r w:rsidR="00DB7882" w:rsidRPr="008B57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個月，並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通知當事人。</w:t>
      </w:r>
    </w:p>
    <w:p w:rsidR="002A640E" w:rsidRPr="008B5706" w:rsidRDefault="00095CF6" w:rsidP="009D617F">
      <w:pPr>
        <w:pStyle w:val="a3"/>
        <w:numPr>
          <w:ilvl w:val="0"/>
          <w:numId w:val="1"/>
        </w:numPr>
        <w:tabs>
          <w:tab w:val="left" w:pos="851"/>
        </w:tabs>
        <w:spacing w:line="46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調查小組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作成決議前，得由申訴人</w:t>
      </w:r>
      <w:r w:rsidR="00416FD7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或其授權代理人以書面撤回其申訴；申訴經撤回者，不得就同一事由再次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申訴。</w:t>
      </w:r>
    </w:p>
    <w:p w:rsidR="00D22261" w:rsidRPr="008B5706" w:rsidRDefault="0079175A" w:rsidP="00991A43">
      <w:pPr>
        <w:pStyle w:val="af1"/>
        <w:tabs>
          <w:tab w:val="left" w:pos="851"/>
        </w:tabs>
        <w:spacing w:line="420" w:lineRule="exact"/>
        <w:ind w:left="840" w:hangingChars="300" w:hanging="840"/>
        <w:jc w:val="both"/>
        <w:rPr>
          <w:color w:val="000000" w:themeColor="text1"/>
          <w:sz w:val="28"/>
          <w:szCs w:val="28"/>
        </w:rPr>
      </w:pPr>
      <w:r w:rsidRPr="008B5706">
        <w:rPr>
          <w:rFonts w:hint="eastAsia"/>
          <w:color w:val="000000" w:themeColor="text1"/>
          <w:sz w:val="28"/>
          <w:szCs w:val="28"/>
        </w:rPr>
        <w:t xml:space="preserve">      </w:t>
      </w:r>
      <w:r w:rsidRPr="008B5706">
        <w:rPr>
          <w:color w:val="000000" w:themeColor="text1"/>
          <w:sz w:val="28"/>
          <w:szCs w:val="28"/>
        </w:rPr>
        <w:t>本局雖非加害人所屬單位，於接獲性騷擾申訴時，仍應採取適當</w:t>
      </w:r>
      <w:r w:rsidR="00991A43" w:rsidRPr="008B5706">
        <w:rPr>
          <w:rFonts w:hint="eastAsia"/>
          <w:color w:val="000000" w:themeColor="text1"/>
          <w:sz w:val="28"/>
          <w:szCs w:val="28"/>
        </w:rPr>
        <w:t xml:space="preserve">  </w:t>
      </w:r>
      <w:r w:rsidRPr="008B5706">
        <w:rPr>
          <w:color w:val="000000" w:themeColor="text1"/>
          <w:sz w:val="28"/>
          <w:szCs w:val="28"/>
        </w:rPr>
        <w:t>之緊急處理，並應於</w:t>
      </w:r>
      <w:r w:rsidRPr="008B5706">
        <w:rPr>
          <w:rFonts w:hint="eastAsia"/>
          <w:color w:val="000000" w:themeColor="text1"/>
          <w:sz w:val="28"/>
          <w:szCs w:val="28"/>
        </w:rPr>
        <w:t>七</w:t>
      </w:r>
      <w:r w:rsidRPr="008B5706">
        <w:rPr>
          <w:color w:val="000000" w:themeColor="text1"/>
          <w:sz w:val="28"/>
          <w:szCs w:val="28"/>
        </w:rPr>
        <w:t>日內將申訴書及相關資料移送</w:t>
      </w:r>
      <w:r w:rsidR="00C13DF6" w:rsidRPr="008B5706">
        <w:rPr>
          <w:rFonts w:hint="eastAsia"/>
          <w:color w:val="000000" w:themeColor="text1"/>
          <w:sz w:val="28"/>
          <w:szCs w:val="28"/>
        </w:rPr>
        <w:t>管轄</w:t>
      </w:r>
      <w:r w:rsidRPr="008B5706">
        <w:rPr>
          <w:rFonts w:hint="eastAsia"/>
          <w:color w:val="000000" w:themeColor="text1"/>
          <w:sz w:val="28"/>
          <w:szCs w:val="28"/>
        </w:rPr>
        <w:t>主管機關</w:t>
      </w:r>
      <w:r w:rsidRPr="008B5706">
        <w:rPr>
          <w:color w:val="000000" w:themeColor="text1"/>
          <w:sz w:val="28"/>
          <w:szCs w:val="28"/>
        </w:rPr>
        <w:t>。</w:t>
      </w:r>
    </w:p>
    <w:p w:rsidR="00AB2FD1" w:rsidRPr="008B5706" w:rsidRDefault="00CF27E9" w:rsidP="00AB2FD1">
      <w:pPr>
        <w:pStyle w:val="a3"/>
        <w:numPr>
          <w:ilvl w:val="0"/>
          <w:numId w:val="1"/>
        </w:numPr>
        <w:tabs>
          <w:tab w:val="left" w:pos="851"/>
        </w:tabs>
        <w:spacing w:line="46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處理性騷擾申訴事件之所有人員，對於當事人之姓名或其他足以辨識身</w:t>
      </w:r>
      <w:r w:rsidR="00032BD7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之資料，除有調查之必要或基於公共安全之考量者外，應予保密。違反者，</w:t>
      </w:r>
      <w:r w:rsidR="00061477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召集人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416FD7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停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止其參與，本局得視其情節依相關規定予以懲處及追究相關責任，並解除其</w:t>
      </w:r>
      <w:r w:rsidR="00032BD7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指派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、聘任。</w:t>
      </w:r>
    </w:p>
    <w:p w:rsidR="002A640E" w:rsidRPr="008B5706" w:rsidRDefault="00095CF6" w:rsidP="009D617F">
      <w:pPr>
        <w:pStyle w:val="a3"/>
        <w:numPr>
          <w:ilvl w:val="0"/>
          <w:numId w:val="1"/>
        </w:numPr>
        <w:tabs>
          <w:tab w:val="left" w:pos="851"/>
        </w:tabs>
        <w:spacing w:line="46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調查小組</w:t>
      </w:r>
      <w:r w:rsidR="00A7484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會議，須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A7484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應出席人數過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半數</w:t>
      </w:r>
      <w:r w:rsidR="00A7484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出席</w:t>
      </w:r>
      <w:r w:rsidR="00A7484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03EC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始得</w:t>
      </w:r>
      <w:r w:rsidR="00A44EE8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召開；</w:t>
      </w:r>
      <w:r w:rsidR="00A7484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以出席人數過半數</w:t>
      </w:r>
      <w:r w:rsidR="000D158A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同意</w:t>
      </w:r>
      <w:r w:rsidR="00A44EE8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決議</w:t>
      </w:r>
      <w:r w:rsidR="00A74845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行之；可否同數時，取決於主席。對決議有不同意見者，得列入紀錄，以備查考。</w:t>
      </w:r>
    </w:p>
    <w:p w:rsidR="00C03ECB" w:rsidRPr="008B5706" w:rsidRDefault="00C03ECB" w:rsidP="009D617F">
      <w:pPr>
        <w:pStyle w:val="a3"/>
        <w:numPr>
          <w:ilvl w:val="0"/>
          <w:numId w:val="1"/>
        </w:numPr>
        <w:tabs>
          <w:tab w:val="left" w:pos="851"/>
        </w:tabs>
        <w:spacing w:line="46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調查性騷擾事件時，應依下列原則為之：</w:t>
      </w:r>
    </w:p>
    <w:p w:rsidR="00C03ECB" w:rsidRPr="008B5706" w:rsidRDefault="00C03ECB" w:rsidP="001370AF">
      <w:pPr>
        <w:pStyle w:val="a3"/>
        <w:numPr>
          <w:ilvl w:val="0"/>
          <w:numId w:val="16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性騷擾事件之調查，應以不公開之方式為之，並保護當事人之隱私及人格法益。</w:t>
      </w:r>
    </w:p>
    <w:p w:rsidR="001370AF" w:rsidRPr="008B5706" w:rsidRDefault="001370AF" w:rsidP="00C466AB">
      <w:pPr>
        <w:pStyle w:val="a3"/>
        <w:numPr>
          <w:ilvl w:val="0"/>
          <w:numId w:val="1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性騷擾事件之調查應秉持客觀、公正、專業原則，給予當事人充分陳述意見及答辯之機會。</w:t>
      </w:r>
    </w:p>
    <w:p w:rsidR="001370AF" w:rsidRPr="008B5706" w:rsidRDefault="001370AF" w:rsidP="001370AF">
      <w:pPr>
        <w:pStyle w:val="a3"/>
        <w:numPr>
          <w:ilvl w:val="0"/>
          <w:numId w:val="16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被害人之陳述明確，已無詢問必要者，應避免重複詢問。</w:t>
      </w:r>
    </w:p>
    <w:p w:rsidR="001370AF" w:rsidRPr="008B5706" w:rsidRDefault="001370AF" w:rsidP="00C466AB">
      <w:pPr>
        <w:pStyle w:val="a3"/>
        <w:numPr>
          <w:ilvl w:val="0"/>
          <w:numId w:val="1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性騷擾事件之調查，得通知當事人及關係人到場說明，並得邀請相關學識經驗者協助。</w:t>
      </w:r>
    </w:p>
    <w:p w:rsidR="001370AF" w:rsidRPr="008B5706" w:rsidRDefault="001370AF" w:rsidP="00C466AB">
      <w:pPr>
        <w:pStyle w:val="a3"/>
        <w:numPr>
          <w:ilvl w:val="0"/>
          <w:numId w:val="1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性騷擾事件之當事人或證人有權力不對等之情形時，應避免其對質。</w:t>
      </w:r>
    </w:p>
    <w:p w:rsidR="001370AF" w:rsidRPr="008B5706" w:rsidRDefault="001370AF" w:rsidP="00C466AB">
      <w:pPr>
        <w:pStyle w:val="a3"/>
        <w:numPr>
          <w:ilvl w:val="0"/>
          <w:numId w:val="1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調查人員因調查之必要，得於不違反保密義務範圍內另作成書面資料，交由當事人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閱覽或告以</w:t>
      </w:r>
      <w:proofErr w:type="gramEnd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要旨。</w:t>
      </w:r>
    </w:p>
    <w:p w:rsidR="001370AF" w:rsidRPr="008B5706" w:rsidRDefault="001370AF" w:rsidP="001370AF">
      <w:pPr>
        <w:pStyle w:val="a3"/>
        <w:numPr>
          <w:ilvl w:val="0"/>
          <w:numId w:val="16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性騷擾事件調查過程中，得視當事人之身心狀況，主動轉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或提供心理輔導及法律協助。</w:t>
      </w:r>
    </w:p>
    <w:p w:rsidR="001370AF" w:rsidRPr="008B5706" w:rsidRDefault="00D4176F" w:rsidP="00C466AB">
      <w:pPr>
        <w:pStyle w:val="a3"/>
        <w:numPr>
          <w:ilvl w:val="0"/>
          <w:numId w:val="16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對於在性騷擾事件申訴、調查、偵查</w:t>
      </w:r>
      <w:r w:rsidR="001370AF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或審理程序中，為申訴、告訴、告發、提起訴訟、作證、提供協助或其他參與行為之人，不得為不當之差別待遇。</w:t>
      </w:r>
    </w:p>
    <w:p w:rsidR="00AB2FD1" w:rsidRPr="008B5706" w:rsidRDefault="00B55D30" w:rsidP="00C466AB">
      <w:pPr>
        <w:pStyle w:val="a3"/>
        <w:numPr>
          <w:ilvl w:val="0"/>
          <w:numId w:val="1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機關首長如涉及性騷擾事件，應交由</w:t>
      </w:r>
      <w:r w:rsidR="001837EA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="001837EA">
        <w:rPr>
          <w:rFonts w:ascii="標楷體" w:eastAsia="標楷體" w:hAnsi="標楷體" w:hint="eastAsia"/>
          <w:color w:val="000000" w:themeColor="text1"/>
          <w:sz w:val="28"/>
          <w:szCs w:val="28"/>
        </w:rPr>
        <w:t>(金門縣政府)</w:t>
      </w:r>
      <w:r w:rsidR="001837E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調查及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決定。</w:t>
      </w:r>
    </w:p>
    <w:p w:rsidR="00AB2FD1" w:rsidRPr="008B5706" w:rsidRDefault="00AB2FD1" w:rsidP="00AB2FD1">
      <w:pPr>
        <w:pStyle w:val="a3"/>
        <w:numPr>
          <w:ilvl w:val="0"/>
          <w:numId w:val="1"/>
        </w:numPr>
        <w:tabs>
          <w:tab w:val="left" w:pos="204"/>
          <w:tab w:val="left" w:pos="567"/>
        </w:tabs>
        <w:spacing w:line="46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性騷</w:t>
      </w: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擾事件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經提送調查小組會議審議後，應陳報局長，</w:t>
      </w: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並分別依各適用法令程序處理：</w:t>
      </w:r>
    </w:p>
    <w:p w:rsidR="00AB2FD1" w:rsidRPr="008B5706" w:rsidRDefault="00E07C7C" w:rsidP="00C466AB">
      <w:pPr>
        <w:pStyle w:val="a3"/>
        <w:numPr>
          <w:ilvl w:val="0"/>
          <w:numId w:val="17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適用性別工作平等法：調查小組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應為附理由</w:t>
      </w:r>
      <w:proofErr w:type="gramEnd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之決議，並得作為</w:t>
      </w:r>
      <w:r w:rsidR="00AB2FD1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懲處或其他處理之建議，且應以書面通知申訴人及其相對人。</w:t>
      </w:r>
    </w:p>
    <w:p w:rsidR="00AB2FD1" w:rsidRPr="008B5706" w:rsidRDefault="00AB2FD1" w:rsidP="00C466AB">
      <w:pPr>
        <w:pStyle w:val="a3"/>
        <w:numPr>
          <w:ilvl w:val="0"/>
          <w:numId w:val="17"/>
        </w:numPr>
        <w:tabs>
          <w:tab w:val="left" w:pos="567"/>
        </w:tabs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適用性騷擾防治法：調查及處理結果應以書面通知當事人及金門縣政府；其內容應包括處理結果之理由、再申訴之期限及受理機關（金門縣政府）。</w:t>
      </w:r>
    </w:p>
    <w:p w:rsidR="00AB2FD1" w:rsidRPr="008B5706" w:rsidRDefault="00AB2FD1" w:rsidP="002D3148">
      <w:pPr>
        <w:pStyle w:val="a3"/>
        <w:numPr>
          <w:ilvl w:val="0"/>
          <w:numId w:val="1"/>
        </w:numPr>
        <w:tabs>
          <w:tab w:val="left" w:pos="204"/>
          <w:tab w:val="left" w:pos="567"/>
        </w:tabs>
        <w:spacing w:line="460" w:lineRule="exact"/>
        <w:ind w:leftChars="0" w:left="851" w:hanging="851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申訴案件逾期未完成調查或當事人不服其調查結果者，</w:t>
      </w:r>
      <w:proofErr w:type="gramStart"/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得分別依各</w:t>
      </w:r>
      <w:proofErr w:type="gramEnd"/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適用法令程序提出救濟：</w:t>
      </w:r>
    </w:p>
    <w:p w:rsidR="00AB2FD1" w:rsidRPr="008B5706" w:rsidRDefault="00AB2FD1" w:rsidP="00AB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      (</w:t>
      </w:r>
      <w:proofErr w:type="gramStart"/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)適用性別工作平等法：申訴人及其相對人對申訴案之決議有</w:t>
      </w:r>
    </w:p>
    <w:p w:rsidR="00AB2FD1" w:rsidRPr="008B5706" w:rsidRDefault="00AB2FD1" w:rsidP="00AB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          異議者，得於收到書面通知次日起二十日內，以書面提出申 </w:t>
      </w:r>
    </w:p>
    <w:p w:rsidR="00AB2FD1" w:rsidRPr="008B5706" w:rsidRDefault="00AB2FD1" w:rsidP="00AB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          復。</w:t>
      </w:r>
    </w:p>
    <w:p w:rsidR="00AB2FD1" w:rsidRPr="008B5706" w:rsidRDefault="00AB2FD1" w:rsidP="00C466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0" w:left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(二)</w:t>
      </w: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適用性騷擾防治法：逾期未完成調查或當事人不服其調查結 </w:t>
      </w:r>
    </w:p>
    <w:p w:rsidR="00AB2FD1" w:rsidRPr="008B5706" w:rsidRDefault="00AB2FD1" w:rsidP="00C466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0" w:left="0"/>
        <w:jc w:val="distribute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         果者，得於期限屆滿或調查結果通知到達之次日起</w:t>
      </w:r>
      <w:proofErr w:type="gramStart"/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三</w:t>
      </w:r>
      <w:proofErr w:type="gramEnd"/>
    </w:p>
    <w:p w:rsidR="00AB2FD1" w:rsidRPr="008B5706" w:rsidRDefault="00AB2FD1" w:rsidP="00AB2F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0" w:left="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         十日內，向</w:t>
      </w:r>
      <w:r w:rsidR="007B46E6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主管機關(</w:t>
      </w: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金門縣政府</w:t>
      </w:r>
      <w:r w:rsidR="007B46E6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)</w:t>
      </w:r>
      <w:r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提出再申訴。</w:t>
      </w:r>
    </w:p>
    <w:p w:rsidR="0079175A" w:rsidRPr="008B5706" w:rsidRDefault="00E22B22" w:rsidP="00D22261">
      <w:pPr>
        <w:pStyle w:val="a3"/>
        <w:numPr>
          <w:ilvl w:val="0"/>
          <w:numId w:val="1"/>
        </w:numPr>
        <w:spacing w:line="460" w:lineRule="exact"/>
        <w:ind w:leftChars="0" w:left="1134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調查中之性騷擾事件已進入偵查或審判程序者，</w:t>
      </w:r>
      <w:r w:rsidR="0057067D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調查小組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得決議暫緩調查。</w:t>
      </w:r>
    </w:p>
    <w:p w:rsidR="004710A8" w:rsidRPr="008B5706" w:rsidRDefault="004710A8" w:rsidP="00032BD7">
      <w:pPr>
        <w:pStyle w:val="a3"/>
        <w:numPr>
          <w:ilvl w:val="0"/>
          <w:numId w:val="1"/>
        </w:numPr>
        <w:tabs>
          <w:tab w:val="left" w:pos="204"/>
          <w:tab w:val="left" w:pos="567"/>
        </w:tabs>
        <w:spacing w:line="46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/>
          <w:color w:val="000000" w:themeColor="text1"/>
          <w:sz w:val="28"/>
          <w:szCs w:val="28"/>
        </w:rPr>
        <w:t>性騷擾行為經調查屬實，</w:t>
      </w:r>
      <w:r w:rsidR="0079175A" w:rsidRPr="008B5706">
        <w:rPr>
          <w:rFonts w:ascii="標楷體" w:eastAsia="標楷體" w:hAnsi="標楷體"/>
          <w:color w:val="000000" w:themeColor="text1"/>
          <w:sz w:val="28"/>
          <w:szCs w:val="28"/>
        </w:rPr>
        <w:t>應視情節輕重，對加害人為適當</w:t>
      </w:r>
      <w:r w:rsidRPr="008B5706">
        <w:rPr>
          <w:rFonts w:ascii="標楷體" w:eastAsia="標楷體" w:hAnsi="標楷體"/>
          <w:color w:val="000000" w:themeColor="text1"/>
          <w:sz w:val="28"/>
          <w:szCs w:val="28"/>
        </w:rPr>
        <w:t>之懲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2680B" w:rsidRPr="008B5706" w:rsidRDefault="004710A8" w:rsidP="00D4176F">
      <w:pPr>
        <w:pStyle w:val="a3"/>
        <w:tabs>
          <w:tab w:val="left" w:pos="851"/>
        </w:tabs>
        <w:spacing w:line="42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8B5706">
        <w:rPr>
          <w:rFonts w:ascii="標楷體" w:eastAsia="標楷體" w:hAnsi="標楷體"/>
          <w:color w:val="000000" w:themeColor="text1"/>
          <w:sz w:val="28"/>
          <w:szCs w:val="28"/>
        </w:rPr>
        <w:t>處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9175A" w:rsidRPr="008B5706">
        <w:rPr>
          <w:rFonts w:ascii="標楷體" w:eastAsia="標楷體" w:hAnsi="標楷體"/>
          <w:color w:val="000000" w:themeColor="text1"/>
          <w:sz w:val="28"/>
          <w:szCs w:val="28"/>
        </w:rPr>
        <w:t>並予以追蹤、考核及監督，避免再度</w:t>
      </w:r>
      <w:r w:rsidR="0079175A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發生</w:t>
      </w:r>
      <w:r w:rsidR="0079175A" w:rsidRPr="008B5706">
        <w:rPr>
          <w:rFonts w:ascii="標楷體" w:eastAsia="標楷體" w:hAnsi="標楷體"/>
          <w:color w:val="000000" w:themeColor="text1"/>
          <w:sz w:val="28"/>
          <w:szCs w:val="28"/>
        </w:rPr>
        <w:t>性騷擾或報復情</w:t>
      </w:r>
      <w:r w:rsidR="0082680B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03ECB" w:rsidRPr="008B5706" w:rsidRDefault="0082680B" w:rsidP="00D4176F">
      <w:pPr>
        <w:pStyle w:val="a3"/>
        <w:tabs>
          <w:tab w:val="left" w:pos="851"/>
        </w:tabs>
        <w:spacing w:line="42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79175A" w:rsidRPr="008B5706">
        <w:rPr>
          <w:rFonts w:ascii="標楷體" w:eastAsia="標楷體" w:hAnsi="標楷體"/>
          <w:color w:val="000000" w:themeColor="text1"/>
          <w:sz w:val="28"/>
          <w:szCs w:val="28"/>
        </w:rPr>
        <w:t>事。</w:t>
      </w:r>
    </w:p>
    <w:p w:rsidR="00C03ECB" w:rsidRPr="008B5706" w:rsidRDefault="00C03ECB" w:rsidP="009D617F">
      <w:pPr>
        <w:pStyle w:val="a3"/>
        <w:numPr>
          <w:ilvl w:val="0"/>
          <w:numId w:val="1"/>
        </w:numPr>
        <w:spacing w:line="460" w:lineRule="exact"/>
        <w:ind w:leftChars="0" w:left="1134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者於非本局所能支配、管理之工作場所工作者，應</w:t>
      </w:r>
      <w:r w:rsidR="003F29C4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工作環境性騷擾風險類型辨識</w:t>
      </w:r>
      <w:r w:rsidR="003F29C4"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必要防護措施，並事前詳為告知受</w:t>
      </w:r>
      <w:proofErr w:type="gramStart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:rsidR="00D22261" w:rsidRPr="008B5706" w:rsidRDefault="00BC46E7" w:rsidP="00C16762">
      <w:pPr>
        <w:pStyle w:val="a3"/>
        <w:numPr>
          <w:ilvl w:val="0"/>
          <w:numId w:val="1"/>
        </w:numPr>
        <w:spacing w:line="460" w:lineRule="exact"/>
        <w:ind w:leftChars="0" w:left="1134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調查小組所需經費，由本局相關預算項下支應。</w:t>
      </w:r>
      <w:r w:rsidR="00D22261" w:rsidRPr="008B570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</w:t>
      </w:r>
    </w:p>
    <w:p w:rsidR="003357A3" w:rsidRPr="008B5706" w:rsidRDefault="003357A3" w:rsidP="00C16762">
      <w:pPr>
        <w:pStyle w:val="a3"/>
        <w:numPr>
          <w:ilvl w:val="0"/>
          <w:numId w:val="1"/>
        </w:numPr>
        <w:spacing w:line="460" w:lineRule="exact"/>
        <w:ind w:leftChars="0" w:left="1134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5706">
        <w:rPr>
          <w:rFonts w:ascii="標楷體" w:eastAsia="標楷體" w:hAnsi="標楷體" w:hint="eastAsia"/>
          <w:color w:val="000000" w:themeColor="text1"/>
          <w:sz w:val="28"/>
          <w:szCs w:val="28"/>
        </w:rPr>
        <w:t>本要點如有未盡事宜，得隨時修正之。</w:t>
      </w:r>
    </w:p>
    <w:sectPr w:rsidR="003357A3" w:rsidRPr="008B5706" w:rsidSect="009D617F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01" w:rsidRDefault="00EA7901" w:rsidP="005F3C20">
      <w:r>
        <w:separator/>
      </w:r>
    </w:p>
  </w:endnote>
  <w:endnote w:type="continuationSeparator" w:id="0">
    <w:p w:rsidR="00EA7901" w:rsidRDefault="00EA7901" w:rsidP="005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05580"/>
      <w:docPartObj>
        <w:docPartGallery w:val="Page Numbers (Bottom of Page)"/>
        <w:docPartUnique/>
      </w:docPartObj>
    </w:sdtPr>
    <w:sdtEndPr/>
    <w:sdtContent>
      <w:p w:rsidR="004B742D" w:rsidRDefault="004B74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20" w:rsidRPr="002C2820">
          <w:rPr>
            <w:noProof/>
            <w:lang w:val="zh-TW"/>
          </w:rPr>
          <w:t>3</w:t>
        </w:r>
        <w:r>
          <w:fldChar w:fldCharType="end"/>
        </w:r>
      </w:p>
    </w:sdtContent>
  </w:sdt>
  <w:p w:rsidR="004B742D" w:rsidRDefault="004B74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01" w:rsidRDefault="00EA7901" w:rsidP="005F3C20">
      <w:r>
        <w:separator/>
      </w:r>
    </w:p>
  </w:footnote>
  <w:footnote w:type="continuationSeparator" w:id="0">
    <w:p w:rsidR="00EA7901" w:rsidRDefault="00EA7901" w:rsidP="005F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009"/>
    <w:multiLevelType w:val="hybridMultilevel"/>
    <w:tmpl w:val="4B3E072E"/>
    <w:lvl w:ilvl="0" w:tplc="3FA04AF6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072074C1"/>
    <w:multiLevelType w:val="hybridMultilevel"/>
    <w:tmpl w:val="4B3E072E"/>
    <w:lvl w:ilvl="0" w:tplc="3FA04AF6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087B7A75"/>
    <w:multiLevelType w:val="hybridMultilevel"/>
    <w:tmpl w:val="573C148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9B63D02"/>
    <w:multiLevelType w:val="hybridMultilevel"/>
    <w:tmpl w:val="7EFC1C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3524C5"/>
    <w:multiLevelType w:val="hybridMultilevel"/>
    <w:tmpl w:val="7FFEB29E"/>
    <w:lvl w:ilvl="0" w:tplc="0D108750">
      <w:start w:val="1"/>
      <w:numFmt w:val="taiwaneseCountingThousand"/>
      <w:lvlText w:val="(%1)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0F8C1CE3"/>
    <w:multiLevelType w:val="hybridMultilevel"/>
    <w:tmpl w:val="C2606B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FA1C6A"/>
    <w:multiLevelType w:val="hybridMultilevel"/>
    <w:tmpl w:val="77FECAFA"/>
    <w:lvl w:ilvl="0" w:tplc="0D108750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0401BAD"/>
    <w:multiLevelType w:val="hybridMultilevel"/>
    <w:tmpl w:val="4B3E072E"/>
    <w:lvl w:ilvl="0" w:tplc="3FA04AF6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18011B3B"/>
    <w:multiLevelType w:val="hybridMultilevel"/>
    <w:tmpl w:val="D69A4E3E"/>
    <w:lvl w:ilvl="0" w:tplc="0D108750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B0A7C7D"/>
    <w:multiLevelType w:val="hybridMultilevel"/>
    <w:tmpl w:val="F434042C"/>
    <w:lvl w:ilvl="0" w:tplc="4EFC8ADE">
      <w:start w:val="1"/>
      <w:numFmt w:val="taiwaneseCountingThousand"/>
      <w:suff w:val="nothing"/>
      <w:lvlText w:val="%1、"/>
      <w:lvlJc w:val="left"/>
      <w:pPr>
        <w:ind w:left="710" w:firstLine="0"/>
      </w:pPr>
      <w:rPr>
        <w:rFonts w:hint="eastAsia"/>
        <w:lang w:val="en-US"/>
      </w:rPr>
    </w:lvl>
    <w:lvl w:ilvl="1" w:tplc="46C0CA64">
      <w:start w:val="1"/>
      <w:numFmt w:val="taiwaneseCountingThousand"/>
      <w:lvlText w:val="(%2)"/>
      <w:lvlJc w:val="left"/>
      <w:pPr>
        <w:ind w:left="76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10">
    <w:nsid w:val="20836B37"/>
    <w:multiLevelType w:val="hybridMultilevel"/>
    <w:tmpl w:val="4B3E072E"/>
    <w:lvl w:ilvl="0" w:tplc="3FA04AF6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22DB6AD4"/>
    <w:multiLevelType w:val="hybridMultilevel"/>
    <w:tmpl w:val="2C727E30"/>
    <w:lvl w:ilvl="0" w:tplc="04090015">
      <w:start w:val="1"/>
      <w:numFmt w:val="taiwaneseCountingThousand"/>
      <w:lvlText w:val="%1、"/>
      <w:lvlJc w:val="left"/>
      <w:pPr>
        <w:ind w:left="8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2">
    <w:nsid w:val="25B843CA"/>
    <w:multiLevelType w:val="hybridMultilevel"/>
    <w:tmpl w:val="4B3E072E"/>
    <w:lvl w:ilvl="0" w:tplc="3FA04AF6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37FA41DC"/>
    <w:multiLevelType w:val="hybridMultilevel"/>
    <w:tmpl w:val="4B3E072E"/>
    <w:lvl w:ilvl="0" w:tplc="3FA04AF6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>
    <w:nsid w:val="3BC52212"/>
    <w:multiLevelType w:val="hybridMultilevel"/>
    <w:tmpl w:val="4B3E072E"/>
    <w:lvl w:ilvl="0" w:tplc="3FA04AF6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>
    <w:nsid w:val="453C4628"/>
    <w:multiLevelType w:val="hybridMultilevel"/>
    <w:tmpl w:val="4B3E072E"/>
    <w:lvl w:ilvl="0" w:tplc="3FA04AF6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>
    <w:nsid w:val="48C62332"/>
    <w:multiLevelType w:val="hybridMultilevel"/>
    <w:tmpl w:val="4B3E072E"/>
    <w:lvl w:ilvl="0" w:tplc="3FA04AF6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>
    <w:nsid w:val="4E014AA7"/>
    <w:multiLevelType w:val="hybridMultilevel"/>
    <w:tmpl w:val="4B3E072E"/>
    <w:lvl w:ilvl="0" w:tplc="3FA04AF6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8">
    <w:nsid w:val="65356E5A"/>
    <w:multiLevelType w:val="hybridMultilevel"/>
    <w:tmpl w:val="DA569C50"/>
    <w:lvl w:ilvl="0" w:tplc="B30432D8">
      <w:start w:val="1"/>
      <w:numFmt w:val="taiwaneseCountingThousand"/>
      <w:lvlText w:val="（%1）"/>
      <w:lvlJc w:val="left"/>
      <w:pPr>
        <w:ind w:left="1524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7DAB64E1"/>
    <w:multiLevelType w:val="hybridMultilevel"/>
    <w:tmpl w:val="C4AEBF80"/>
    <w:lvl w:ilvl="0" w:tplc="3EACD348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  <w:lang w:val="en-US"/>
      </w:rPr>
    </w:lvl>
    <w:lvl w:ilvl="1" w:tplc="CBAC2B42">
      <w:start w:val="1"/>
      <w:numFmt w:val="taiwaneseCountingThousand"/>
      <w:lvlText w:val="(%2)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0"/>
  </w:num>
  <w:num w:numId="12">
    <w:abstractNumId w:val="16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17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CB"/>
    <w:rsid w:val="00002694"/>
    <w:rsid w:val="00010D9E"/>
    <w:rsid w:val="00032BD7"/>
    <w:rsid w:val="00055CBF"/>
    <w:rsid w:val="00061477"/>
    <w:rsid w:val="00063D8B"/>
    <w:rsid w:val="0006456F"/>
    <w:rsid w:val="0006658D"/>
    <w:rsid w:val="00071885"/>
    <w:rsid w:val="000812A7"/>
    <w:rsid w:val="000864D1"/>
    <w:rsid w:val="000945D0"/>
    <w:rsid w:val="00095195"/>
    <w:rsid w:val="00095CF6"/>
    <w:rsid w:val="000B0BDF"/>
    <w:rsid w:val="000D0AAC"/>
    <w:rsid w:val="000D0BEC"/>
    <w:rsid w:val="000D158A"/>
    <w:rsid w:val="000D29EA"/>
    <w:rsid w:val="000D7700"/>
    <w:rsid w:val="000D7AA2"/>
    <w:rsid w:val="000E5EBD"/>
    <w:rsid w:val="001039CB"/>
    <w:rsid w:val="0012226F"/>
    <w:rsid w:val="001370AF"/>
    <w:rsid w:val="0014386A"/>
    <w:rsid w:val="00165EB9"/>
    <w:rsid w:val="00180E73"/>
    <w:rsid w:val="001837EA"/>
    <w:rsid w:val="001967A3"/>
    <w:rsid w:val="001969B5"/>
    <w:rsid w:val="001F1F71"/>
    <w:rsid w:val="001F41C7"/>
    <w:rsid w:val="00201B38"/>
    <w:rsid w:val="00201DAC"/>
    <w:rsid w:val="0020361A"/>
    <w:rsid w:val="0021659D"/>
    <w:rsid w:val="00244C40"/>
    <w:rsid w:val="00245473"/>
    <w:rsid w:val="00250F8F"/>
    <w:rsid w:val="002531C7"/>
    <w:rsid w:val="00255C8D"/>
    <w:rsid w:val="00256A85"/>
    <w:rsid w:val="002702D9"/>
    <w:rsid w:val="00286260"/>
    <w:rsid w:val="002A4DE9"/>
    <w:rsid w:val="002A640E"/>
    <w:rsid w:val="002B72AF"/>
    <w:rsid w:val="002C2820"/>
    <w:rsid w:val="002C4860"/>
    <w:rsid w:val="002D3148"/>
    <w:rsid w:val="002D5941"/>
    <w:rsid w:val="002D7C30"/>
    <w:rsid w:val="00304984"/>
    <w:rsid w:val="003248AD"/>
    <w:rsid w:val="00326677"/>
    <w:rsid w:val="00327526"/>
    <w:rsid w:val="003357A3"/>
    <w:rsid w:val="00337EF2"/>
    <w:rsid w:val="003418DF"/>
    <w:rsid w:val="00352EE5"/>
    <w:rsid w:val="003A5520"/>
    <w:rsid w:val="003C42F5"/>
    <w:rsid w:val="003C5EF1"/>
    <w:rsid w:val="003D0040"/>
    <w:rsid w:val="003D1B4D"/>
    <w:rsid w:val="003D27F9"/>
    <w:rsid w:val="003E431C"/>
    <w:rsid w:val="003E4C72"/>
    <w:rsid w:val="003F1C4F"/>
    <w:rsid w:val="003F29C4"/>
    <w:rsid w:val="00416FD7"/>
    <w:rsid w:val="00420CC0"/>
    <w:rsid w:val="004225C0"/>
    <w:rsid w:val="00441FB0"/>
    <w:rsid w:val="00443E26"/>
    <w:rsid w:val="0045386F"/>
    <w:rsid w:val="004710A8"/>
    <w:rsid w:val="004963AE"/>
    <w:rsid w:val="00496475"/>
    <w:rsid w:val="004B742D"/>
    <w:rsid w:val="004B75BD"/>
    <w:rsid w:val="004C17D5"/>
    <w:rsid w:val="004C1981"/>
    <w:rsid w:val="00500866"/>
    <w:rsid w:val="005102E2"/>
    <w:rsid w:val="00516B32"/>
    <w:rsid w:val="005307D3"/>
    <w:rsid w:val="00533278"/>
    <w:rsid w:val="005342B2"/>
    <w:rsid w:val="00537475"/>
    <w:rsid w:val="005402BD"/>
    <w:rsid w:val="00541A2A"/>
    <w:rsid w:val="0054217A"/>
    <w:rsid w:val="005437B3"/>
    <w:rsid w:val="005560C1"/>
    <w:rsid w:val="0057067D"/>
    <w:rsid w:val="005A1D2B"/>
    <w:rsid w:val="005A5435"/>
    <w:rsid w:val="005D1B84"/>
    <w:rsid w:val="005D5EA6"/>
    <w:rsid w:val="005F037F"/>
    <w:rsid w:val="005F3C20"/>
    <w:rsid w:val="00604D80"/>
    <w:rsid w:val="0061790C"/>
    <w:rsid w:val="0063208E"/>
    <w:rsid w:val="0064522E"/>
    <w:rsid w:val="00657833"/>
    <w:rsid w:val="006901F3"/>
    <w:rsid w:val="006A1984"/>
    <w:rsid w:val="006B759D"/>
    <w:rsid w:val="006C3CA8"/>
    <w:rsid w:val="006D5908"/>
    <w:rsid w:val="006E7943"/>
    <w:rsid w:val="00701425"/>
    <w:rsid w:val="00707025"/>
    <w:rsid w:val="00712002"/>
    <w:rsid w:val="00715DA3"/>
    <w:rsid w:val="0072263E"/>
    <w:rsid w:val="00724232"/>
    <w:rsid w:val="00737F83"/>
    <w:rsid w:val="007562B1"/>
    <w:rsid w:val="00761C30"/>
    <w:rsid w:val="00771A2D"/>
    <w:rsid w:val="00774499"/>
    <w:rsid w:val="0077703C"/>
    <w:rsid w:val="0079175A"/>
    <w:rsid w:val="007A3395"/>
    <w:rsid w:val="007B46E6"/>
    <w:rsid w:val="007D2723"/>
    <w:rsid w:val="007E13CA"/>
    <w:rsid w:val="007E2691"/>
    <w:rsid w:val="007E6FD1"/>
    <w:rsid w:val="00816B48"/>
    <w:rsid w:val="0082680B"/>
    <w:rsid w:val="00843984"/>
    <w:rsid w:val="008549A0"/>
    <w:rsid w:val="008566BD"/>
    <w:rsid w:val="008775F6"/>
    <w:rsid w:val="008949B9"/>
    <w:rsid w:val="00896CF5"/>
    <w:rsid w:val="008B5706"/>
    <w:rsid w:val="008C27C0"/>
    <w:rsid w:val="008E1AB4"/>
    <w:rsid w:val="008E38F9"/>
    <w:rsid w:val="008F1448"/>
    <w:rsid w:val="00902310"/>
    <w:rsid w:val="00935ABD"/>
    <w:rsid w:val="00935AC0"/>
    <w:rsid w:val="00955FE9"/>
    <w:rsid w:val="0096108A"/>
    <w:rsid w:val="00966329"/>
    <w:rsid w:val="00976426"/>
    <w:rsid w:val="00976C8A"/>
    <w:rsid w:val="0098203F"/>
    <w:rsid w:val="00991A43"/>
    <w:rsid w:val="009A3694"/>
    <w:rsid w:val="009A5C42"/>
    <w:rsid w:val="009B560D"/>
    <w:rsid w:val="009C45D9"/>
    <w:rsid w:val="009D31EB"/>
    <w:rsid w:val="009D617F"/>
    <w:rsid w:val="00A224C7"/>
    <w:rsid w:val="00A44EE8"/>
    <w:rsid w:val="00A74845"/>
    <w:rsid w:val="00A83A1C"/>
    <w:rsid w:val="00AA398A"/>
    <w:rsid w:val="00AB2FD1"/>
    <w:rsid w:val="00AB4596"/>
    <w:rsid w:val="00AF26F4"/>
    <w:rsid w:val="00B10189"/>
    <w:rsid w:val="00B25D3C"/>
    <w:rsid w:val="00B40EFA"/>
    <w:rsid w:val="00B42567"/>
    <w:rsid w:val="00B46B41"/>
    <w:rsid w:val="00B54C7C"/>
    <w:rsid w:val="00B55D30"/>
    <w:rsid w:val="00B56BF0"/>
    <w:rsid w:val="00B64062"/>
    <w:rsid w:val="00B8649E"/>
    <w:rsid w:val="00BB32A9"/>
    <w:rsid w:val="00BC46E7"/>
    <w:rsid w:val="00BD1747"/>
    <w:rsid w:val="00BD40AE"/>
    <w:rsid w:val="00BD40F2"/>
    <w:rsid w:val="00BD4749"/>
    <w:rsid w:val="00BE3ADC"/>
    <w:rsid w:val="00C03ECB"/>
    <w:rsid w:val="00C06441"/>
    <w:rsid w:val="00C133B3"/>
    <w:rsid w:val="00C13DF6"/>
    <w:rsid w:val="00C14AF5"/>
    <w:rsid w:val="00C16762"/>
    <w:rsid w:val="00C170C1"/>
    <w:rsid w:val="00C20652"/>
    <w:rsid w:val="00C2567A"/>
    <w:rsid w:val="00C31783"/>
    <w:rsid w:val="00C466AB"/>
    <w:rsid w:val="00C56A2A"/>
    <w:rsid w:val="00C73EF9"/>
    <w:rsid w:val="00C9066F"/>
    <w:rsid w:val="00CA0400"/>
    <w:rsid w:val="00CD6982"/>
    <w:rsid w:val="00CD7AB0"/>
    <w:rsid w:val="00CE2046"/>
    <w:rsid w:val="00CE715A"/>
    <w:rsid w:val="00CF27E9"/>
    <w:rsid w:val="00CF6B9A"/>
    <w:rsid w:val="00D22261"/>
    <w:rsid w:val="00D250CC"/>
    <w:rsid w:val="00D275C4"/>
    <w:rsid w:val="00D32C4E"/>
    <w:rsid w:val="00D362D7"/>
    <w:rsid w:val="00D4176F"/>
    <w:rsid w:val="00D53019"/>
    <w:rsid w:val="00D751A3"/>
    <w:rsid w:val="00DA3AFF"/>
    <w:rsid w:val="00DB7882"/>
    <w:rsid w:val="00DE2A18"/>
    <w:rsid w:val="00E07C7C"/>
    <w:rsid w:val="00E17323"/>
    <w:rsid w:val="00E22B22"/>
    <w:rsid w:val="00E41621"/>
    <w:rsid w:val="00EA1B02"/>
    <w:rsid w:val="00EA3470"/>
    <w:rsid w:val="00EA7901"/>
    <w:rsid w:val="00EB0B72"/>
    <w:rsid w:val="00EB0DE3"/>
    <w:rsid w:val="00EC6397"/>
    <w:rsid w:val="00EE1EB7"/>
    <w:rsid w:val="00F03D59"/>
    <w:rsid w:val="00F1141B"/>
    <w:rsid w:val="00F3792E"/>
    <w:rsid w:val="00F4355F"/>
    <w:rsid w:val="00F74508"/>
    <w:rsid w:val="00F765F3"/>
    <w:rsid w:val="00F87446"/>
    <w:rsid w:val="00FA050B"/>
    <w:rsid w:val="00FA1155"/>
    <w:rsid w:val="00FA75E4"/>
    <w:rsid w:val="00FA763D"/>
    <w:rsid w:val="00FB2A67"/>
    <w:rsid w:val="00FE4DCB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C2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362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62D7"/>
  </w:style>
  <w:style w:type="character" w:customStyle="1" w:styleId="aa">
    <w:name w:val="註解文字 字元"/>
    <w:basedOn w:val="a0"/>
    <w:link w:val="a9"/>
    <w:uiPriority w:val="99"/>
    <w:semiHidden/>
    <w:rsid w:val="00D362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362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362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6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62D7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公文(發文日期)"/>
    <w:rsid w:val="00BB32A9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character" w:styleId="af0">
    <w:name w:val="Hyperlink"/>
    <w:basedOn w:val="a0"/>
    <w:uiPriority w:val="99"/>
    <w:unhideWhenUsed/>
    <w:rsid w:val="00C31783"/>
    <w:rPr>
      <w:color w:val="0000FF" w:themeColor="hyperlink"/>
      <w:u w:val="single"/>
    </w:rPr>
  </w:style>
  <w:style w:type="paragraph" w:styleId="af1">
    <w:name w:val="Body Text Indent"/>
    <w:basedOn w:val="a"/>
    <w:link w:val="af2"/>
    <w:rsid w:val="0079175A"/>
    <w:pPr>
      <w:spacing w:line="520" w:lineRule="exact"/>
      <w:ind w:left="640" w:hangingChars="200" w:hanging="640"/>
    </w:pPr>
    <w:rPr>
      <w:rFonts w:ascii="標楷體" w:eastAsia="標楷體" w:hAnsi="標楷體" w:cs="Times New Roman"/>
      <w:sz w:val="32"/>
      <w:szCs w:val="32"/>
    </w:rPr>
  </w:style>
  <w:style w:type="character" w:customStyle="1" w:styleId="af2">
    <w:name w:val="本文縮排 字元"/>
    <w:basedOn w:val="a0"/>
    <w:link w:val="af1"/>
    <w:rsid w:val="0079175A"/>
    <w:rPr>
      <w:rFonts w:ascii="標楷體" w:eastAsia="標楷體" w:hAnsi="標楷體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C2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362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62D7"/>
  </w:style>
  <w:style w:type="character" w:customStyle="1" w:styleId="aa">
    <w:name w:val="註解文字 字元"/>
    <w:basedOn w:val="a0"/>
    <w:link w:val="a9"/>
    <w:uiPriority w:val="99"/>
    <w:semiHidden/>
    <w:rsid w:val="00D362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362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362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6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62D7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公文(發文日期)"/>
    <w:rsid w:val="00BB32A9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character" w:styleId="af0">
    <w:name w:val="Hyperlink"/>
    <w:basedOn w:val="a0"/>
    <w:uiPriority w:val="99"/>
    <w:unhideWhenUsed/>
    <w:rsid w:val="00C31783"/>
    <w:rPr>
      <w:color w:val="0000FF" w:themeColor="hyperlink"/>
      <w:u w:val="single"/>
    </w:rPr>
  </w:style>
  <w:style w:type="paragraph" w:styleId="af1">
    <w:name w:val="Body Text Indent"/>
    <w:basedOn w:val="a"/>
    <w:link w:val="af2"/>
    <w:rsid w:val="0079175A"/>
    <w:pPr>
      <w:spacing w:line="520" w:lineRule="exact"/>
      <w:ind w:left="640" w:hangingChars="200" w:hanging="640"/>
    </w:pPr>
    <w:rPr>
      <w:rFonts w:ascii="標楷體" w:eastAsia="標楷體" w:hAnsi="標楷體" w:cs="Times New Roman"/>
      <w:sz w:val="32"/>
      <w:szCs w:val="32"/>
    </w:rPr>
  </w:style>
  <w:style w:type="character" w:customStyle="1" w:styleId="af2">
    <w:name w:val="本文縮排 字元"/>
    <w:basedOn w:val="a0"/>
    <w:link w:val="af1"/>
    <w:rsid w:val="0079175A"/>
    <w:rPr>
      <w:rFonts w:ascii="標楷體" w:eastAsia="標楷體" w:hAnsi="標楷體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FA9D-9032-4475-B013-57F858FC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shihching</dc:creator>
  <cp:lastModifiedBy>鄭兆威</cp:lastModifiedBy>
  <cp:revision>35</cp:revision>
  <cp:lastPrinted>2018-06-29T07:58:00Z</cp:lastPrinted>
  <dcterms:created xsi:type="dcterms:W3CDTF">2018-06-27T11:01:00Z</dcterms:created>
  <dcterms:modified xsi:type="dcterms:W3CDTF">2018-10-03T06:05:00Z</dcterms:modified>
</cp:coreProperties>
</file>