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06" w:rsidRDefault="00312E06" w:rsidP="00312E06">
      <w:pPr>
        <w:jc w:val="center"/>
        <w:rPr>
          <w:rFonts w:ascii="標楷體" w:eastAsia="標楷體" w:hAnsi="標楷體" w:cs="Times New Roman"/>
          <w:sz w:val="32"/>
          <w:szCs w:val="32"/>
        </w:rPr>
      </w:pPr>
      <w:r w:rsidRPr="00312E06">
        <w:rPr>
          <w:rFonts w:ascii="標楷體" w:eastAsia="標楷體" w:hAnsi="標楷體" w:cs="Times New Roman"/>
          <w:sz w:val="32"/>
          <w:szCs w:val="32"/>
        </w:rPr>
        <w:t>金門縣政府10</w:t>
      </w:r>
      <w:r w:rsidR="002A2AC9">
        <w:rPr>
          <w:rFonts w:ascii="標楷體" w:eastAsia="標楷體" w:hAnsi="標楷體" w:cs="Times New Roman" w:hint="eastAsia"/>
          <w:sz w:val="32"/>
          <w:szCs w:val="32"/>
        </w:rPr>
        <w:t>8</w:t>
      </w:r>
      <w:r w:rsidRPr="00312E06">
        <w:rPr>
          <w:rFonts w:ascii="標楷體" w:eastAsia="標楷體" w:hAnsi="標楷體" w:cs="Times New Roman"/>
          <w:sz w:val="32"/>
          <w:szCs w:val="32"/>
        </w:rPr>
        <w:t>年度推動性別平等執行成果報告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516"/>
        <w:gridCol w:w="5634"/>
      </w:tblGrid>
      <w:tr w:rsidR="004F6058" w:rsidTr="00F96082">
        <w:tc>
          <w:tcPr>
            <w:tcW w:w="2136" w:type="dxa"/>
            <w:shd w:val="clear" w:color="auto" w:fill="auto"/>
          </w:tcPr>
          <w:p w:rsidR="004F6058" w:rsidRPr="00B9721A" w:rsidRDefault="004F6058" w:rsidP="00F96082">
            <w:pPr>
              <w:jc w:val="center"/>
              <w:rPr>
                <w:rFonts w:ascii="標楷體" w:eastAsia="標楷體" w:hAnsi="標楷體"/>
                <w:sz w:val="28"/>
              </w:rPr>
            </w:pPr>
            <w:r w:rsidRPr="00B9721A">
              <w:rPr>
                <w:rFonts w:ascii="標楷體" w:eastAsia="標楷體" w:hAnsi="標楷體" w:hint="eastAsia"/>
                <w:sz w:val="28"/>
              </w:rPr>
              <w:t>項目</w:t>
            </w:r>
          </w:p>
        </w:tc>
        <w:tc>
          <w:tcPr>
            <w:tcW w:w="1516" w:type="dxa"/>
            <w:shd w:val="clear" w:color="auto" w:fill="auto"/>
          </w:tcPr>
          <w:p w:rsidR="004F6058" w:rsidRPr="00B9721A" w:rsidRDefault="004F6058" w:rsidP="00F96082">
            <w:pPr>
              <w:jc w:val="center"/>
              <w:rPr>
                <w:rFonts w:ascii="標楷體" w:eastAsia="標楷體" w:hAnsi="標楷體"/>
                <w:sz w:val="28"/>
                <w:szCs w:val="28"/>
              </w:rPr>
            </w:pPr>
            <w:r w:rsidRPr="00B9721A">
              <w:rPr>
                <w:rFonts w:ascii="標楷體" w:eastAsia="標楷體" w:hAnsi="標楷體" w:hint="eastAsia"/>
                <w:sz w:val="28"/>
                <w:szCs w:val="28"/>
              </w:rPr>
              <w:t>承辦單位</w:t>
            </w:r>
          </w:p>
        </w:tc>
        <w:tc>
          <w:tcPr>
            <w:tcW w:w="5634" w:type="dxa"/>
            <w:shd w:val="clear" w:color="auto" w:fill="auto"/>
          </w:tcPr>
          <w:p w:rsidR="004F6058" w:rsidRPr="00B9721A" w:rsidRDefault="004F6058" w:rsidP="00F96082">
            <w:pPr>
              <w:jc w:val="center"/>
              <w:rPr>
                <w:rFonts w:ascii="標楷體" w:eastAsia="標楷體" w:hAnsi="標楷體"/>
                <w:sz w:val="28"/>
                <w:szCs w:val="28"/>
              </w:rPr>
            </w:pPr>
            <w:r w:rsidRPr="00B9721A">
              <w:rPr>
                <w:rFonts w:ascii="標楷體" w:eastAsia="標楷體" w:hAnsi="標楷體" w:hint="eastAsia"/>
                <w:sz w:val="28"/>
                <w:szCs w:val="28"/>
              </w:rPr>
              <w:t>成果</w:t>
            </w:r>
          </w:p>
        </w:tc>
      </w:tr>
      <w:tr w:rsidR="004F6058" w:rsidTr="00F96082">
        <w:trPr>
          <w:trHeight w:val="372"/>
        </w:trPr>
        <w:tc>
          <w:tcPr>
            <w:tcW w:w="9286" w:type="dxa"/>
            <w:gridSpan w:val="3"/>
            <w:shd w:val="clear" w:color="auto" w:fill="BFBFBF"/>
          </w:tcPr>
          <w:p w:rsidR="004F6058" w:rsidRPr="00B9721A" w:rsidRDefault="004F6058" w:rsidP="00F96082">
            <w:pPr>
              <w:jc w:val="center"/>
              <w:rPr>
                <w:rFonts w:ascii="標楷體" w:eastAsia="標楷體" w:hAnsi="標楷體"/>
                <w:sz w:val="26"/>
                <w:szCs w:val="26"/>
              </w:rPr>
            </w:pPr>
            <w:r w:rsidRPr="00B9721A">
              <w:rPr>
                <w:rFonts w:ascii="標楷體" w:eastAsia="標楷體" w:hAnsi="標楷體" w:hint="eastAsia"/>
                <w:sz w:val="26"/>
                <w:szCs w:val="26"/>
              </w:rPr>
              <w:t>推</w:t>
            </w:r>
            <w:r w:rsidRPr="00B9721A">
              <w:rPr>
                <w:rFonts w:ascii="標楷體" w:eastAsia="標楷體" w:hAnsi="標楷體"/>
                <w:sz w:val="26"/>
                <w:szCs w:val="26"/>
              </w:rPr>
              <w:t>動性別主流化各項工具</w:t>
            </w:r>
          </w:p>
        </w:tc>
      </w:tr>
      <w:tr w:rsidR="004F6058" w:rsidTr="00F96082">
        <w:tc>
          <w:tcPr>
            <w:tcW w:w="2136" w:type="dxa"/>
            <w:vMerge w:val="restart"/>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一、性別意識培力</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人事處</w:t>
            </w:r>
          </w:p>
        </w:tc>
        <w:tc>
          <w:tcPr>
            <w:tcW w:w="5634" w:type="dxa"/>
            <w:shd w:val="clear" w:color="auto" w:fill="auto"/>
          </w:tcPr>
          <w:p w:rsidR="004F6058" w:rsidRDefault="004F6058" w:rsidP="004F6058">
            <w:pPr>
              <w:numPr>
                <w:ilvl w:val="0"/>
                <w:numId w:val="19"/>
              </w:numPr>
              <w:rPr>
                <w:rFonts w:ascii="標楷體" w:eastAsia="標楷體" w:hAnsi="標楷體"/>
              </w:rPr>
            </w:pPr>
            <w:r w:rsidRPr="00C63A38">
              <w:rPr>
                <w:rFonts w:ascii="標楷體" w:eastAsia="標楷體" w:hAnsi="標楷體" w:hint="eastAsia"/>
              </w:rPr>
              <w:t>108年2月13日於本府多媒體簡報室辦理2場次「從性別主流化談健康的性別關係與溝通技巧」，計237人參加，並隨班宣導婦權促進議題。</w:t>
            </w:r>
          </w:p>
          <w:p w:rsidR="004F6058" w:rsidRPr="00133837" w:rsidRDefault="004F6058" w:rsidP="004F6058">
            <w:pPr>
              <w:numPr>
                <w:ilvl w:val="0"/>
                <w:numId w:val="19"/>
              </w:numPr>
              <w:rPr>
                <w:rFonts w:ascii="標楷體" w:eastAsia="標楷體" w:hAnsi="標楷體" w:hint="eastAsia"/>
              </w:rPr>
            </w:pPr>
            <w:r w:rsidRPr="00133837">
              <w:rPr>
                <w:rFonts w:ascii="標楷體" w:eastAsia="標楷體" w:hAnsi="標楷體" w:hint="eastAsia"/>
              </w:rPr>
              <w:t>108年6月18日於本府新聞發佈室與行政院性別平等處合辦「108年地方性別平等業務研習班(金門縣場次)」，計83人參加，並隨班宣導婦權促進議題。</w:t>
            </w:r>
          </w:p>
          <w:p w:rsidR="004F6058" w:rsidRPr="00133837" w:rsidRDefault="004F6058" w:rsidP="004F6058">
            <w:pPr>
              <w:numPr>
                <w:ilvl w:val="0"/>
                <w:numId w:val="19"/>
              </w:numPr>
              <w:rPr>
                <w:rFonts w:ascii="標楷體" w:eastAsia="標楷體" w:hAnsi="標楷體" w:hint="eastAsia"/>
              </w:rPr>
            </w:pPr>
            <w:r w:rsidRPr="00133837">
              <w:rPr>
                <w:rFonts w:ascii="標楷體" w:eastAsia="標楷體" w:hAnsi="標楷體" w:hint="eastAsia"/>
              </w:rPr>
              <w:t>108年8月6日於本府新聞發佈室辦理「108年性別主流化工具運用與實務訓練（性別預算）」，並隨班宣導婦權促進議題。</w:t>
            </w:r>
          </w:p>
          <w:p w:rsidR="004F6058" w:rsidRPr="00133837" w:rsidRDefault="004F6058" w:rsidP="004F6058">
            <w:pPr>
              <w:numPr>
                <w:ilvl w:val="0"/>
                <w:numId w:val="19"/>
              </w:numPr>
              <w:rPr>
                <w:rFonts w:ascii="標楷體" w:eastAsia="標楷體" w:hAnsi="標楷體" w:hint="eastAsia"/>
              </w:rPr>
            </w:pPr>
            <w:r w:rsidRPr="00133837">
              <w:rPr>
                <w:rFonts w:ascii="標楷體" w:eastAsia="標楷體" w:hAnsi="標楷體" w:hint="eastAsia"/>
              </w:rPr>
              <w:t>108年8月21-22日與9月23-24日於本府多媒體簡報室與社會處合辦2場次「消除對婦女一切形式歧視公約（CEDAW）實務及案例研討班」，計131人參加，並隨班宣導婦權促進議題。</w:t>
            </w:r>
          </w:p>
          <w:p w:rsidR="004F6058" w:rsidRDefault="004F6058" w:rsidP="004F6058">
            <w:pPr>
              <w:numPr>
                <w:ilvl w:val="0"/>
                <w:numId w:val="19"/>
              </w:numPr>
              <w:rPr>
                <w:rFonts w:ascii="標楷體" w:eastAsia="標楷體" w:hAnsi="標楷體"/>
              </w:rPr>
            </w:pPr>
            <w:r w:rsidRPr="00133837">
              <w:rPr>
                <w:rFonts w:ascii="標楷體" w:eastAsia="標楷體" w:hAnsi="標楷體" w:hint="eastAsia"/>
              </w:rPr>
              <w:t>108年9月17日於本府多媒體簡報室與法務部合辦「人權10年─有您作伙」影展活動」，計70人參加，並隨班宣導婦權促進議題。</w:t>
            </w:r>
          </w:p>
          <w:p w:rsidR="004F6058" w:rsidRPr="00133837" w:rsidRDefault="004F6058" w:rsidP="00F96082">
            <w:pPr>
              <w:ind w:left="480"/>
              <w:rPr>
                <w:rFonts w:ascii="標楷體" w:eastAsia="標楷體" w:hAnsi="標楷體" w:hint="eastAsia"/>
              </w:rPr>
            </w:pP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Pr="00C60556" w:rsidRDefault="004F6058" w:rsidP="004F6058">
            <w:pPr>
              <w:numPr>
                <w:ilvl w:val="0"/>
                <w:numId w:val="16"/>
              </w:numPr>
              <w:spacing w:line="500" w:lineRule="exact"/>
              <w:rPr>
                <w:rFonts w:ascii="標楷體" w:eastAsia="標楷體" w:hAnsi="標楷體"/>
                <w:szCs w:val="28"/>
              </w:rPr>
            </w:pPr>
            <w:r w:rsidRPr="00C60556">
              <w:rPr>
                <w:rFonts w:ascii="標楷體" w:eastAsia="標楷體" w:hAnsi="標楷體" w:hint="eastAsia"/>
                <w:szCs w:val="28"/>
              </w:rPr>
              <w:t>108年5月21日至22日上午9時在本府新聞發佈室辦理金門縣108年性別平等工作坊-進階訓練，提升本府各局處及所屬一級機關性別聯絡人及業務承辦人員之性別敏感度，於規劃或檢視各項政策及法令時，納入性別觀點，追求性別平等，使性別主流化之理念、目標與操作架構與業務工作相結合，利用創意思維活化性平業務之規劃能力，促進本府性別平等政策落實，亦加強各機關彼此間的工作聯繫與情感交流，受益30人。</w:t>
            </w:r>
          </w:p>
          <w:p w:rsidR="004F6058" w:rsidRPr="00C60556" w:rsidRDefault="004F6058" w:rsidP="004F6058">
            <w:pPr>
              <w:numPr>
                <w:ilvl w:val="0"/>
                <w:numId w:val="16"/>
              </w:numPr>
              <w:spacing w:line="500" w:lineRule="exact"/>
              <w:rPr>
                <w:rFonts w:ascii="標楷體" w:eastAsia="標楷體" w:hAnsi="標楷體"/>
                <w:szCs w:val="28"/>
              </w:rPr>
            </w:pPr>
            <w:r w:rsidRPr="00C60556">
              <w:rPr>
                <w:rFonts w:ascii="標楷體" w:eastAsia="標楷體" w:hAnsi="標楷體" w:hint="eastAsia"/>
                <w:szCs w:val="28"/>
              </w:rPr>
              <w:t>108年6月18日辦理金門縣108年地方性別平等業務研習班，提升本府同仁性別意識，受益</w:t>
            </w:r>
            <w:r w:rsidRPr="00C60556">
              <w:rPr>
                <w:rFonts w:ascii="標楷體" w:eastAsia="標楷體" w:hAnsi="標楷體" w:hint="eastAsia"/>
                <w:szCs w:val="28"/>
              </w:rPr>
              <w:lastRenderedPageBreak/>
              <w:t>60人。</w:t>
            </w:r>
          </w:p>
          <w:p w:rsidR="004F6058" w:rsidRPr="00C60556" w:rsidRDefault="004F6058" w:rsidP="004F6058">
            <w:pPr>
              <w:numPr>
                <w:ilvl w:val="0"/>
                <w:numId w:val="16"/>
              </w:numPr>
              <w:spacing w:line="500" w:lineRule="exact"/>
              <w:rPr>
                <w:rFonts w:ascii="標楷體" w:eastAsia="標楷體" w:hAnsi="標楷體"/>
                <w:szCs w:val="28"/>
              </w:rPr>
            </w:pPr>
            <w:r w:rsidRPr="00C60556">
              <w:rPr>
                <w:rFonts w:ascii="標楷體" w:eastAsia="標楷體" w:hAnsi="標楷體" w:hint="eastAsia"/>
                <w:szCs w:val="28"/>
              </w:rPr>
              <w:t>108年8月6日上午9時在本府新聞發佈室辦理金門縣108年性別主流化工具運用與實務訓練-性別預算，使本府各局處及所屬一級機關性別聯絡人及業務承辦人員了解性別預算，及如何在概算編列時融入性別觀點，受益100人。</w:t>
            </w:r>
          </w:p>
          <w:p w:rsidR="004F6058" w:rsidRPr="00FE4DA0" w:rsidRDefault="004F6058" w:rsidP="004F6058">
            <w:pPr>
              <w:numPr>
                <w:ilvl w:val="0"/>
                <w:numId w:val="16"/>
              </w:numPr>
              <w:spacing w:line="500" w:lineRule="exact"/>
              <w:rPr>
                <w:rFonts w:ascii="標楷體" w:eastAsia="標楷體" w:hAnsi="標楷體"/>
                <w:sz w:val="28"/>
                <w:szCs w:val="28"/>
              </w:rPr>
            </w:pPr>
            <w:r w:rsidRPr="00C60556">
              <w:rPr>
                <w:rFonts w:ascii="標楷體" w:eastAsia="標楷體" w:hAnsi="標楷體" w:hint="eastAsia"/>
                <w:szCs w:val="28"/>
              </w:rPr>
              <w:t>108年9月24日、10月22日辦理本府推動性別平等業務外聘督導，以提升本府各局處性平承辦人性別意識，受益75人。</w:t>
            </w:r>
          </w:p>
          <w:p w:rsidR="004F6058" w:rsidRPr="00C60556" w:rsidRDefault="004F6058" w:rsidP="004F6058">
            <w:pPr>
              <w:numPr>
                <w:ilvl w:val="0"/>
                <w:numId w:val="16"/>
              </w:numPr>
              <w:spacing w:line="500" w:lineRule="exact"/>
              <w:rPr>
                <w:rFonts w:ascii="標楷體" w:eastAsia="標楷體" w:hAnsi="標楷體" w:hint="eastAsia"/>
                <w:sz w:val="28"/>
                <w:szCs w:val="28"/>
              </w:rPr>
            </w:pP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教育處</w:t>
            </w:r>
          </w:p>
        </w:tc>
        <w:tc>
          <w:tcPr>
            <w:tcW w:w="5634" w:type="dxa"/>
            <w:shd w:val="clear" w:color="auto" w:fill="auto"/>
          </w:tcPr>
          <w:p w:rsidR="004F6058" w:rsidRDefault="004F6058" w:rsidP="004F6058">
            <w:pPr>
              <w:numPr>
                <w:ilvl w:val="0"/>
                <w:numId w:val="14"/>
              </w:numPr>
              <w:rPr>
                <w:rFonts w:ascii="標楷體" w:eastAsia="標楷體" w:hAnsi="標楷體"/>
              </w:rPr>
            </w:pPr>
            <w:r w:rsidRPr="00C63A38">
              <w:rPr>
                <w:rFonts w:ascii="標楷體" w:eastAsia="標楷體" w:hAnsi="標楷體" w:hint="eastAsia"/>
              </w:rPr>
              <w:t>於108年5月23-25日假金湖國小辦理「性侵害、性騷擾或性霸凌事件調查專業人員初階培訓課程研習」，提升各校教師性別平等意識及因應處理校園性別事件之效能，計有33位教師參加。</w:t>
            </w:r>
          </w:p>
          <w:p w:rsidR="004F6058" w:rsidRPr="00C63A38" w:rsidRDefault="004F6058" w:rsidP="004F6058">
            <w:pPr>
              <w:numPr>
                <w:ilvl w:val="0"/>
                <w:numId w:val="14"/>
              </w:numPr>
              <w:rPr>
                <w:rFonts w:ascii="標楷體" w:eastAsia="標楷體" w:hAnsi="標楷體"/>
              </w:rPr>
            </w:pPr>
            <w:r w:rsidRPr="00C63A38">
              <w:rPr>
                <w:rFonts w:ascii="標楷體" w:eastAsia="標楷體" w:hAnsi="標楷體" w:hint="eastAsia"/>
              </w:rPr>
              <w:t>訂於108年10月假金湖國小辦理「性別平等教育課程輔導座談暨教學演示」，透過縣內各國中小教案分享，協助教師增進專業對話與經驗交流。</w:t>
            </w: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警察局</w:t>
            </w:r>
          </w:p>
        </w:tc>
        <w:tc>
          <w:tcPr>
            <w:tcW w:w="5634" w:type="dxa"/>
            <w:shd w:val="clear" w:color="auto" w:fill="auto"/>
          </w:tcPr>
          <w:p w:rsidR="004F6058" w:rsidRDefault="004F6058" w:rsidP="004F6058">
            <w:pPr>
              <w:numPr>
                <w:ilvl w:val="0"/>
                <w:numId w:val="15"/>
              </w:numPr>
              <w:rPr>
                <w:rFonts w:ascii="標楷體" w:eastAsia="標楷體" w:hAnsi="標楷體"/>
              </w:rPr>
            </w:pPr>
            <w:r w:rsidRPr="00AD79A3">
              <w:rPr>
                <w:rFonts w:ascii="標楷體" w:eastAsia="標楷體" w:hAnsi="標楷體" w:hint="eastAsia"/>
              </w:rPr>
              <w:t>108年3月18至29日派員至內政部警政署參加婦幼工作專業人員基礎訓練班，提升警政婦幼安全工作人員專業知能。</w:t>
            </w:r>
          </w:p>
          <w:p w:rsidR="004F6058" w:rsidRDefault="004F6058" w:rsidP="004F6058">
            <w:pPr>
              <w:numPr>
                <w:ilvl w:val="0"/>
                <w:numId w:val="15"/>
              </w:numPr>
              <w:rPr>
                <w:rFonts w:ascii="標楷體" w:eastAsia="標楷體" w:hAnsi="標楷體"/>
              </w:rPr>
            </w:pPr>
            <w:r w:rsidRPr="00AD79A3">
              <w:rPr>
                <w:rFonts w:ascii="標楷體" w:eastAsia="標楷體" w:hAnsi="標楷體" w:hint="eastAsia"/>
              </w:rPr>
              <w:t>108年4月15日至26日派員至內政部警政署參加婦幼工作專業人員進階訓練班，提升警政婦幼專業知能，以有效推展婦幼安全工作。</w:t>
            </w:r>
          </w:p>
          <w:p w:rsidR="004F6058" w:rsidRPr="00AD79A3" w:rsidRDefault="004F6058" w:rsidP="004F6058">
            <w:pPr>
              <w:numPr>
                <w:ilvl w:val="0"/>
                <w:numId w:val="15"/>
              </w:numPr>
              <w:rPr>
                <w:rFonts w:ascii="標楷體" w:eastAsia="標楷體" w:hAnsi="標楷體"/>
              </w:rPr>
            </w:pPr>
          </w:p>
        </w:tc>
      </w:tr>
      <w:tr w:rsidR="004F6058" w:rsidTr="00F96082">
        <w:tc>
          <w:tcPr>
            <w:tcW w:w="2136" w:type="dxa"/>
            <w:vMerge w:val="restart"/>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二、性別統計與分析</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主計處</w:t>
            </w:r>
          </w:p>
        </w:tc>
        <w:tc>
          <w:tcPr>
            <w:tcW w:w="5634"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108年8月19日繪製107年性別圖像。</w:t>
            </w: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各項委託及補助方案皆運用性別統計分析結果研擬計畫。</w:t>
            </w:r>
          </w:p>
        </w:tc>
      </w:tr>
      <w:tr w:rsidR="004F6058" w:rsidTr="00F96082">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三、性別影響評估</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Default="004F6058" w:rsidP="00F96082">
            <w:pPr>
              <w:rPr>
                <w:rFonts w:ascii="標楷體" w:eastAsia="標楷體" w:hAnsi="標楷體"/>
              </w:rPr>
            </w:pPr>
            <w:r w:rsidRPr="00B9721A">
              <w:rPr>
                <w:rFonts w:ascii="標楷體" w:eastAsia="標楷體" w:hAnsi="標楷體" w:hint="eastAsia"/>
              </w:rPr>
              <w:t>本府於108年4月16日以府社婦第</w:t>
            </w:r>
            <w:r w:rsidRPr="00B9721A">
              <w:rPr>
                <w:rStyle w:val="dialogtext1"/>
                <w:rFonts w:ascii="標楷體" w:eastAsia="標楷體" w:hAnsi="標楷體"/>
              </w:rPr>
              <w:t>1080029536</w:t>
            </w:r>
            <w:r w:rsidRPr="00B9721A">
              <w:rPr>
                <w:rStyle w:val="dialogtext1"/>
                <w:rFonts w:ascii="標楷體" w:eastAsia="標楷體" w:hAnsi="標楷體" w:hint="eastAsia"/>
              </w:rPr>
              <w:t>字號</w:t>
            </w:r>
            <w:r w:rsidRPr="00B9721A">
              <w:rPr>
                <w:rFonts w:ascii="標楷體" w:eastAsia="標楷體" w:hAnsi="標楷體" w:hint="eastAsia"/>
              </w:rPr>
              <w:t>訂定金門縣政府性別影響評估作業流程及檢視表。</w:t>
            </w:r>
          </w:p>
          <w:p w:rsidR="004F6058" w:rsidRPr="00B9721A" w:rsidRDefault="004F6058" w:rsidP="00F96082">
            <w:pPr>
              <w:rPr>
                <w:rFonts w:ascii="標楷體" w:eastAsia="標楷體" w:hAnsi="標楷體" w:hint="eastAsia"/>
              </w:rPr>
            </w:pPr>
          </w:p>
        </w:tc>
      </w:tr>
      <w:tr w:rsidR="004F6058" w:rsidTr="00F96082">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四、</w:t>
            </w:r>
            <w:r w:rsidRPr="00B9721A">
              <w:rPr>
                <w:rFonts w:ascii="標楷體" w:eastAsia="標楷體" w:hAnsi="標楷體"/>
              </w:rPr>
              <w:t>性別預算</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主計處</w:t>
            </w:r>
          </w:p>
        </w:tc>
        <w:tc>
          <w:tcPr>
            <w:tcW w:w="5634"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僅社會處於預算書說明內容提及性別，其餘各局處皆無。</w:t>
            </w:r>
          </w:p>
        </w:tc>
      </w:tr>
      <w:tr w:rsidR="004F6058" w:rsidTr="00F96082">
        <w:trPr>
          <w:trHeight w:val="957"/>
        </w:trPr>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五、性平機制運作</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rPr>
              <w:t>組織性別平等推動組-本縣婦女權益促進委員會</w:t>
            </w:r>
            <w:r w:rsidRPr="00B9721A">
              <w:rPr>
                <w:rFonts w:ascii="標楷體" w:eastAsia="標楷體" w:hAnsi="標楷體" w:hint="eastAsia"/>
              </w:rPr>
              <w:t>每半年召開一次。</w:t>
            </w:r>
          </w:p>
        </w:tc>
      </w:tr>
      <w:tr w:rsidR="004F6058" w:rsidTr="00F96082">
        <w:tc>
          <w:tcPr>
            <w:tcW w:w="9286" w:type="dxa"/>
            <w:gridSpan w:val="3"/>
            <w:shd w:val="clear" w:color="auto" w:fill="BFBFBF"/>
          </w:tcPr>
          <w:p w:rsidR="004F6058" w:rsidRPr="00B9721A" w:rsidRDefault="004F6058" w:rsidP="00F96082">
            <w:pPr>
              <w:jc w:val="center"/>
              <w:rPr>
                <w:rFonts w:ascii="標楷體" w:eastAsia="標楷體" w:hAnsi="標楷體"/>
                <w:sz w:val="26"/>
                <w:szCs w:val="26"/>
              </w:rPr>
            </w:pPr>
            <w:r w:rsidRPr="00B9721A">
              <w:rPr>
                <w:rFonts w:ascii="標楷體" w:eastAsia="標楷體" w:hAnsi="標楷體" w:hint="eastAsia"/>
                <w:sz w:val="26"/>
                <w:szCs w:val="26"/>
              </w:rPr>
              <w:lastRenderedPageBreak/>
              <w:t>性別平等政策推動</w:t>
            </w:r>
          </w:p>
        </w:tc>
      </w:tr>
      <w:tr w:rsidR="004F6058" w:rsidTr="00F96082">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一、就業、經濟與福利組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Default="004F6058" w:rsidP="004F6058">
            <w:pPr>
              <w:numPr>
                <w:ilvl w:val="0"/>
                <w:numId w:val="17"/>
              </w:numPr>
              <w:rPr>
                <w:rFonts w:ascii="標楷體" w:eastAsia="標楷體" w:hAnsi="標楷體"/>
              </w:rPr>
            </w:pPr>
            <w:r w:rsidRPr="00C60556">
              <w:rPr>
                <w:rFonts w:ascii="標楷體" w:eastAsia="標楷體" w:hAnsi="標楷體" w:hint="eastAsia"/>
              </w:rPr>
              <w:t>108年5月18、19日、6月1、2日辦理創新方案 -就業支持培力計畫-【DIY 膳房實驗室】，計4場次。活動會以 PPT 課程講座搭配實際操作，首先會請講師利用ppt授課，說明各項餐食的注意事與搭配方式，並於下個場次實做操作，使學員學習新知識，並馬上實際操作。然而於後面場次講師說明相關食品安全衛生，使學員對於食品安全與衛生本 有基本的認識與瞭解，且請講師利用自身經驗與技巧，說明如何包裝設計產品與推廣通路，增加創業婦女商品行銷通路，參加共計324人次。</w:t>
            </w:r>
          </w:p>
          <w:p w:rsidR="004F6058" w:rsidRPr="00FE4DA0" w:rsidRDefault="004F6058" w:rsidP="004F6058">
            <w:pPr>
              <w:numPr>
                <w:ilvl w:val="0"/>
                <w:numId w:val="17"/>
              </w:numPr>
              <w:spacing w:line="500" w:lineRule="exact"/>
              <w:rPr>
                <w:rFonts w:ascii="標楷體" w:eastAsia="標楷體" w:hAnsi="標楷體"/>
                <w:sz w:val="28"/>
                <w:szCs w:val="28"/>
                <w:lang w:eastAsia="zh-HK"/>
              </w:rPr>
            </w:pPr>
            <w:r w:rsidRPr="00C60556">
              <w:rPr>
                <w:rFonts w:ascii="標楷體" w:eastAsia="標楷體" w:hAnsi="標楷體" w:hint="eastAsia"/>
                <w:szCs w:val="28"/>
                <w:lang w:eastAsia="zh-HK"/>
              </w:rPr>
              <w:t>金門縣基督教女青年會辦理新住民與單親婦女微創教作「居家保養品-手作護膚乳」，透過微電影「彩虹世界」分享讓參與的學員互相討論，談性別平等與自我尊嚴的追尋，女人的多重角色。並透過手作護膚乳讓參與的學員可以學得一技之長，共計142人參與。</w:t>
            </w:r>
          </w:p>
          <w:p w:rsidR="004F6058" w:rsidRPr="00C60556" w:rsidRDefault="004F6058" w:rsidP="00F96082">
            <w:pPr>
              <w:spacing w:line="500" w:lineRule="exact"/>
              <w:ind w:left="480"/>
              <w:rPr>
                <w:rFonts w:ascii="標楷體" w:eastAsia="標楷體" w:hAnsi="標楷體" w:hint="eastAsia"/>
                <w:sz w:val="28"/>
                <w:szCs w:val="28"/>
                <w:lang w:eastAsia="zh-HK"/>
              </w:rPr>
            </w:pPr>
          </w:p>
        </w:tc>
      </w:tr>
      <w:tr w:rsidR="004F6058" w:rsidTr="00F96082">
        <w:tc>
          <w:tcPr>
            <w:tcW w:w="2136" w:type="dxa"/>
            <w:vMerge w:val="restart"/>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二、教育、媒體與文化組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教育處</w:t>
            </w:r>
          </w:p>
        </w:tc>
        <w:tc>
          <w:tcPr>
            <w:tcW w:w="5634" w:type="dxa"/>
            <w:shd w:val="clear" w:color="auto" w:fill="auto"/>
          </w:tcPr>
          <w:p w:rsidR="004F6058" w:rsidRPr="00C63A38" w:rsidRDefault="004F6058" w:rsidP="00F96082">
            <w:pPr>
              <w:rPr>
                <w:rFonts w:ascii="標楷體" w:eastAsia="標楷體" w:hAnsi="標楷體" w:hint="eastAsia"/>
              </w:rPr>
            </w:pPr>
            <w:r w:rsidRPr="00C63A38">
              <w:rPr>
                <w:rFonts w:ascii="標楷體" w:eastAsia="標楷體" w:hAnsi="標楷體" w:hint="eastAsia"/>
              </w:rPr>
              <w:t>於108年5月1日至5月31日，規劃辦理國中小「性別平等教育宣導月」活動，辦理項目包含影片欣賞暨心得寫作比賽、週會宣導、漫畫或海報比賽暨作品公開展覽、家長親職教育宣導等、或由各校自行規劃相關活動。</w:t>
            </w: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文化局</w:t>
            </w:r>
          </w:p>
        </w:tc>
        <w:tc>
          <w:tcPr>
            <w:tcW w:w="5634" w:type="dxa"/>
            <w:shd w:val="clear" w:color="auto" w:fill="auto"/>
          </w:tcPr>
          <w:p w:rsidR="004F6058" w:rsidRDefault="004F6058" w:rsidP="004F6058">
            <w:pPr>
              <w:numPr>
                <w:ilvl w:val="0"/>
                <w:numId w:val="18"/>
              </w:numPr>
              <w:rPr>
                <w:rFonts w:ascii="標楷體" w:eastAsia="標楷體" w:hAnsi="標楷體"/>
              </w:rPr>
            </w:pPr>
            <w:r w:rsidRPr="000D4A89">
              <w:rPr>
                <w:rFonts w:ascii="標楷體" w:eastAsia="標楷體" w:hAnsi="標楷體" w:hint="eastAsia"/>
              </w:rPr>
              <w:t>金門傳統音樂館成立於104年7月，目前一週五天有活動，星期一19:00樂團班分部及合奏、星期二19:30 烏克麗麗彈唱入門班、星期四19:30南管班、星期五19:30金門歌謠大家唱、星期六19:30南管交流演唱。活動鼓勵婦女照顧家庭閒暇之餘，可以利用政府提供免費之教學課程自我充電，並藉由課程了解金門傳統音樂文化之美，進而協助推廣金門傳統文化。</w:t>
            </w:r>
          </w:p>
          <w:p w:rsidR="004F6058" w:rsidRPr="00FE4DA0" w:rsidRDefault="004F6058" w:rsidP="004F6058">
            <w:pPr>
              <w:numPr>
                <w:ilvl w:val="0"/>
                <w:numId w:val="18"/>
              </w:numPr>
              <w:rPr>
                <w:rFonts w:ascii="標楷體" w:eastAsia="標楷體" w:hAnsi="標楷體"/>
              </w:rPr>
            </w:pPr>
            <w:r w:rsidRPr="000D4A89">
              <w:rPr>
                <w:rFonts w:ascii="標楷體" w:eastAsia="標楷體" w:hAnsi="標楷體" w:hint="eastAsia"/>
                <w:szCs w:val="28"/>
              </w:rPr>
              <w:t>於10月19日-20日辦理閱讀趴趴走－親子DIY植物趣參加人數70人。我們生活最密切的就是社區，但是往往被居民忽視，此次經由老師帶領民眾走讀認識自己社區的樣貌與環境，瞭解自己的生長環境、地理景觀、植物生態。</w:t>
            </w:r>
          </w:p>
          <w:p w:rsidR="004F6058" w:rsidRPr="00B9721A" w:rsidRDefault="004F6058" w:rsidP="00F96082">
            <w:pPr>
              <w:ind w:left="480"/>
              <w:rPr>
                <w:rFonts w:ascii="標楷體" w:eastAsia="標楷體" w:hAnsi="標楷體" w:hint="eastAsia"/>
              </w:rPr>
            </w:pP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Default="004F6058" w:rsidP="004F6058">
            <w:pPr>
              <w:numPr>
                <w:ilvl w:val="0"/>
                <w:numId w:val="13"/>
              </w:numPr>
              <w:rPr>
                <w:rFonts w:ascii="標楷體" w:eastAsia="標楷體" w:hAnsi="標楷體"/>
              </w:rPr>
            </w:pPr>
            <w:r w:rsidRPr="00C63A38">
              <w:rPr>
                <w:rFonts w:ascii="標楷體" w:eastAsia="標楷體" w:hAnsi="標楷體" w:hint="eastAsia"/>
              </w:rPr>
              <w:t>108年2月17日委託社團法人金門縣婦女聯合會辦理性別平等婦女權益暨團體培力成長教育活動共計1場次，以性別的觀點，提升性別意識，計202人次受益。</w:t>
            </w:r>
          </w:p>
          <w:p w:rsidR="004F6058" w:rsidRPr="00C60556" w:rsidRDefault="004F6058" w:rsidP="004F6058">
            <w:pPr>
              <w:numPr>
                <w:ilvl w:val="0"/>
                <w:numId w:val="13"/>
              </w:numPr>
              <w:rPr>
                <w:rFonts w:ascii="標楷體" w:eastAsia="標楷體" w:hAnsi="標楷體" w:hint="eastAsia"/>
              </w:rPr>
            </w:pPr>
            <w:r w:rsidRPr="00C60556">
              <w:rPr>
                <w:rFonts w:ascii="標楷體" w:eastAsia="標楷體" w:hAnsi="標楷體" w:hint="eastAsia"/>
              </w:rPr>
              <w:t>108年3月9日辦理性別意識培力-性別小教室，計2場次，以講座及影片欣賞與評論的方式來呈現舉辦，說明「多元性別、跨性別、性別主流化、性別平等」，也分析存在於傳統生活中，對性別的不同看法或認知，漫談性別主流化議題，多元性別特性，並以實例或個人生活經驗分享，帶與會學員瞭解性別平等的意義及價值，期待成員能在瞭解之後，能包容、尊重達到性別平等的可能。參加共計61人次。</w:t>
            </w:r>
          </w:p>
          <w:p w:rsidR="004F6058" w:rsidRDefault="004F6058" w:rsidP="004F6058">
            <w:pPr>
              <w:numPr>
                <w:ilvl w:val="0"/>
                <w:numId w:val="13"/>
              </w:numPr>
              <w:rPr>
                <w:rFonts w:ascii="標楷體" w:eastAsia="標楷體" w:hAnsi="標楷體"/>
              </w:rPr>
            </w:pPr>
            <w:r w:rsidRPr="00C63A38">
              <w:rPr>
                <w:rFonts w:ascii="標楷體" w:eastAsia="標楷體" w:hAnsi="標楷體" w:hint="eastAsia"/>
              </w:rPr>
              <w:t>108年4月27日委託社團法人金門縣婦女權益促進會辦理「Women的少女時代3」，透過闖關遊戲及搭配宣導攤位同時進行，讓民眾更能暸解權益議題暨性別平等觀念，計</w:t>
            </w:r>
            <w:r>
              <w:rPr>
                <w:rFonts w:ascii="標楷體" w:eastAsia="標楷體" w:hAnsi="標楷體" w:hint="eastAsia"/>
              </w:rPr>
              <w:t>300</w:t>
            </w:r>
            <w:r w:rsidRPr="00C63A38">
              <w:rPr>
                <w:rFonts w:ascii="標楷體" w:eastAsia="標楷體" w:hAnsi="標楷體" w:hint="eastAsia"/>
              </w:rPr>
              <w:t>人次受益。</w:t>
            </w:r>
          </w:p>
          <w:p w:rsidR="004F6058" w:rsidRPr="00C60556" w:rsidRDefault="004F6058" w:rsidP="004F6058">
            <w:pPr>
              <w:numPr>
                <w:ilvl w:val="0"/>
                <w:numId w:val="13"/>
              </w:numPr>
              <w:rPr>
                <w:rFonts w:ascii="標楷體" w:eastAsia="標楷體" w:hAnsi="標楷體"/>
              </w:rPr>
            </w:pPr>
            <w:r>
              <w:rPr>
                <w:rFonts w:ascii="標楷體" w:eastAsia="標楷體" w:hAnsi="標楷體" w:hint="eastAsia"/>
              </w:rPr>
              <w:t>補助</w:t>
            </w:r>
            <w:r w:rsidRPr="00C60556">
              <w:rPr>
                <w:rFonts w:ascii="標楷體" w:eastAsia="標楷體" w:hAnsi="標楷體" w:hint="eastAsia"/>
              </w:rPr>
              <w:t>金門縣基督教女青年會辦理「悠悠浯島性別沙龍系列活動part1」，透過課程的研習，可以喚起參與者重視生活中的性別議題，並了解日常生活中的種種性別不等，並促進參與學員了解性別平等、性別主流化、CEDAW等基本觀念，共計170人參與。</w:t>
            </w:r>
          </w:p>
          <w:p w:rsidR="004F6058" w:rsidRDefault="004F6058" w:rsidP="004F6058">
            <w:pPr>
              <w:numPr>
                <w:ilvl w:val="0"/>
                <w:numId w:val="13"/>
              </w:numPr>
              <w:rPr>
                <w:rFonts w:ascii="標楷體" w:eastAsia="標楷體" w:hAnsi="標楷體"/>
              </w:rPr>
            </w:pPr>
            <w:r w:rsidRPr="00C63A38">
              <w:rPr>
                <w:rFonts w:ascii="標楷體" w:eastAsia="標楷體" w:hAnsi="標楷體" w:hint="eastAsia"/>
              </w:rPr>
              <w:t>108年11月3日於金獅影城辦理2019女性影展。</w:t>
            </w:r>
          </w:p>
          <w:p w:rsidR="004F6058" w:rsidRPr="00C63A38" w:rsidRDefault="004F6058" w:rsidP="00F96082">
            <w:pPr>
              <w:ind w:left="480"/>
              <w:rPr>
                <w:rFonts w:ascii="標楷體" w:eastAsia="標楷體" w:hAnsi="標楷體" w:hint="eastAsia"/>
              </w:rPr>
            </w:pPr>
          </w:p>
        </w:tc>
      </w:tr>
      <w:tr w:rsidR="004F6058" w:rsidTr="00F96082">
        <w:tc>
          <w:tcPr>
            <w:tcW w:w="2136" w:type="dxa"/>
            <w:vMerge w:val="restart"/>
            <w:shd w:val="clear" w:color="auto" w:fill="auto"/>
          </w:tcPr>
          <w:p w:rsidR="004F6058" w:rsidRPr="00B9721A" w:rsidRDefault="004F6058" w:rsidP="004F6058">
            <w:pPr>
              <w:pStyle w:val="a4"/>
              <w:numPr>
                <w:ilvl w:val="0"/>
                <w:numId w:val="8"/>
              </w:numPr>
              <w:ind w:leftChars="0"/>
              <w:rPr>
                <w:rFonts w:ascii="標楷體" w:eastAsia="標楷體" w:hAnsi="標楷體"/>
              </w:rPr>
            </w:pPr>
            <w:r w:rsidRPr="00B9721A">
              <w:rPr>
                <w:rFonts w:ascii="標楷體" w:eastAsia="標楷體" w:hAnsi="標楷體" w:hint="eastAsia"/>
                <w:szCs w:val="28"/>
              </w:rPr>
              <w:t>人身安全組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警察局</w:t>
            </w:r>
          </w:p>
        </w:tc>
        <w:tc>
          <w:tcPr>
            <w:tcW w:w="5634" w:type="dxa"/>
            <w:shd w:val="clear" w:color="auto" w:fill="auto"/>
          </w:tcPr>
          <w:p w:rsidR="004F6058" w:rsidRDefault="004F6058" w:rsidP="004F6058">
            <w:pPr>
              <w:numPr>
                <w:ilvl w:val="0"/>
                <w:numId w:val="21"/>
              </w:numPr>
              <w:tabs>
                <w:tab w:val="left" w:pos="459"/>
              </w:tabs>
              <w:jc w:val="both"/>
              <w:rPr>
                <w:rFonts w:ascii="標楷體" w:eastAsia="標楷體" w:hAnsi="標楷體"/>
              </w:rPr>
            </w:pPr>
            <w:r w:rsidRPr="00672B3B">
              <w:rPr>
                <w:rFonts w:ascii="標楷體" w:eastAsia="標楷體" w:hAnsi="標楷體" w:hint="eastAsia"/>
              </w:rPr>
              <w:t>本期受理家庭暴力案件共計126件(男30人、女96人，本國籍105件、新住民21件)，協助聲請保護令26件，執行保護令48件，移送家庭暴力罪10件，移送違反保護令罪9件。</w:t>
            </w:r>
          </w:p>
          <w:p w:rsidR="004F6058" w:rsidRDefault="004F6058" w:rsidP="004F6058">
            <w:pPr>
              <w:numPr>
                <w:ilvl w:val="0"/>
                <w:numId w:val="21"/>
              </w:numPr>
              <w:tabs>
                <w:tab w:val="left" w:pos="459"/>
              </w:tabs>
              <w:jc w:val="both"/>
              <w:rPr>
                <w:rFonts w:ascii="標楷體" w:eastAsia="標楷體" w:hAnsi="標楷體"/>
              </w:rPr>
            </w:pPr>
            <w:r w:rsidRPr="00672B3B">
              <w:rPr>
                <w:rFonts w:ascii="標楷體" w:eastAsia="標楷體" w:hAnsi="標楷體" w:hint="eastAsia"/>
              </w:rPr>
              <w:t>依性侵害犯罪加害人登記報到查訪及查閱辦法通知加害人辦理登記報到，本期報到38人次。</w:t>
            </w:r>
          </w:p>
          <w:p w:rsidR="004F6058" w:rsidRDefault="004F6058" w:rsidP="004F6058">
            <w:pPr>
              <w:numPr>
                <w:ilvl w:val="0"/>
                <w:numId w:val="21"/>
              </w:numPr>
              <w:tabs>
                <w:tab w:val="left" w:pos="459"/>
              </w:tabs>
              <w:jc w:val="both"/>
              <w:rPr>
                <w:rFonts w:ascii="標楷體" w:eastAsia="標楷體" w:hAnsi="標楷體"/>
              </w:rPr>
            </w:pPr>
            <w:r w:rsidRPr="00672B3B">
              <w:rPr>
                <w:rFonts w:ascii="標楷體" w:eastAsia="標楷體" w:hAnsi="標楷體" w:hint="eastAsia"/>
              </w:rPr>
              <w:t>受理性侵害案件計10件10人（女9</w:t>
            </w:r>
            <w:r>
              <w:rPr>
                <w:rFonts w:ascii="標楷體" w:eastAsia="標楷體" w:hAnsi="標楷體" w:hint="eastAsia"/>
              </w:rPr>
              <w:t>人）。</w:t>
            </w:r>
          </w:p>
          <w:p w:rsidR="004F6058" w:rsidRPr="00672B3B" w:rsidRDefault="004F6058" w:rsidP="004F6058">
            <w:pPr>
              <w:numPr>
                <w:ilvl w:val="0"/>
                <w:numId w:val="21"/>
              </w:numPr>
              <w:tabs>
                <w:tab w:val="left" w:pos="459"/>
              </w:tabs>
              <w:jc w:val="both"/>
              <w:rPr>
                <w:rFonts w:ascii="標楷體" w:eastAsia="標楷體" w:hAnsi="標楷體"/>
              </w:rPr>
            </w:pPr>
            <w:r w:rsidRPr="00672B3B">
              <w:rPr>
                <w:rFonts w:ascii="標楷體" w:eastAsia="標楷體" w:hAnsi="標楷體" w:hint="eastAsia"/>
              </w:rPr>
              <w:t>本期受(處)理性騷擾案件共計3件（女3人）。</w:t>
            </w: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highlight w:val="yellow"/>
              </w:rPr>
            </w:pPr>
            <w:r w:rsidRPr="00B9721A">
              <w:rPr>
                <w:rFonts w:ascii="標楷體" w:eastAsia="標楷體" w:hAnsi="標楷體" w:hint="eastAsia"/>
              </w:rPr>
              <w:t>金門縣家防中心</w:t>
            </w:r>
          </w:p>
        </w:tc>
        <w:tc>
          <w:tcPr>
            <w:tcW w:w="5634" w:type="dxa"/>
            <w:shd w:val="clear" w:color="auto" w:fill="auto"/>
          </w:tcPr>
          <w:p w:rsidR="004F6058" w:rsidRPr="00224987" w:rsidRDefault="004F6058" w:rsidP="00F96082">
            <w:pPr>
              <w:rPr>
                <w:rFonts w:ascii="標楷體" w:eastAsia="標楷體" w:hAnsi="標楷體" w:hint="eastAsia"/>
              </w:rPr>
            </w:pPr>
            <w:r w:rsidRPr="00224987">
              <w:rPr>
                <w:rFonts w:ascii="標楷體" w:eastAsia="標楷體" w:hAnsi="標楷體" w:hint="eastAsia"/>
              </w:rPr>
              <w:t>辦理家庭暴力被害人服務，至本（108）年11月止提供受暴被害人諮商協談1,528人次、庇護安置6人次、陪同報案偵詢（訊）1人次、陪同出庭10人次、驗傷診療1人次、法律扶助4人次、就業服務1人次、轉介目睹暴力服務3人次、其他扶助23人次。</w:t>
            </w:r>
          </w:p>
          <w:p w:rsidR="004F6058" w:rsidRDefault="004F6058" w:rsidP="00F96082">
            <w:pPr>
              <w:rPr>
                <w:rFonts w:ascii="標楷體" w:eastAsia="標楷體" w:hAnsi="標楷體"/>
              </w:rPr>
            </w:pPr>
            <w:r w:rsidRPr="00224987">
              <w:rPr>
                <w:rFonts w:ascii="標楷體" w:eastAsia="標楷體" w:hAnsi="標楷體" w:hint="eastAsia"/>
              </w:rPr>
              <w:t>提供性侵害被害人諮商協談708人次、陪同報案偵</w:t>
            </w:r>
            <w:r w:rsidRPr="00224987">
              <w:rPr>
                <w:rFonts w:ascii="標楷體" w:eastAsia="標楷體" w:hAnsi="標楷體" w:hint="eastAsia"/>
              </w:rPr>
              <w:lastRenderedPageBreak/>
              <w:t>詢（訊）9人次、陪同出庭8人次、法律扶助1人次、就業服務1人次、其他扶助11人次。</w:t>
            </w:r>
          </w:p>
          <w:p w:rsidR="004F6058" w:rsidRPr="00B9721A" w:rsidRDefault="004F6058" w:rsidP="00F96082">
            <w:pPr>
              <w:rPr>
                <w:rFonts w:ascii="標楷體" w:eastAsia="標楷體" w:hAnsi="標楷體" w:hint="eastAsia"/>
              </w:rPr>
            </w:pP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hint="eastAsia"/>
              </w:rPr>
            </w:pPr>
            <w:r>
              <w:rPr>
                <w:rFonts w:ascii="標楷體" w:eastAsia="標楷體" w:hAnsi="標楷體" w:hint="eastAsia"/>
              </w:rPr>
              <w:t>衛生局</w:t>
            </w:r>
          </w:p>
        </w:tc>
        <w:tc>
          <w:tcPr>
            <w:tcW w:w="5634" w:type="dxa"/>
            <w:shd w:val="clear" w:color="auto" w:fill="auto"/>
          </w:tcPr>
          <w:p w:rsidR="004F6058" w:rsidRPr="00AD79A3" w:rsidRDefault="004F6058" w:rsidP="00F96082">
            <w:pPr>
              <w:rPr>
                <w:rFonts w:ascii="標楷體" w:eastAsia="標楷體" w:hAnsi="標楷體" w:hint="eastAsia"/>
              </w:rPr>
            </w:pPr>
            <w:r>
              <w:rPr>
                <w:rFonts w:ascii="標楷體" w:eastAsia="標楷體" w:hAnsi="標楷體" w:hint="eastAsia"/>
              </w:rPr>
              <w:t>一</w:t>
            </w:r>
            <w:r w:rsidRPr="00AD79A3">
              <w:rPr>
                <w:rFonts w:ascii="標楷體" w:eastAsia="標楷體" w:hAnsi="標楷體" w:hint="eastAsia"/>
              </w:rPr>
              <w:t>、家庭暴力處遇計畫</w:t>
            </w:r>
          </w:p>
          <w:p w:rsidR="004F6058" w:rsidRDefault="004F6058" w:rsidP="00F96082">
            <w:pPr>
              <w:rPr>
                <w:rFonts w:ascii="標楷體" w:eastAsia="標楷體" w:hAnsi="標楷體"/>
              </w:rPr>
            </w:pPr>
            <w:r w:rsidRPr="004D6685">
              <w:rPr>
                <w:rFonts w:ascii="標楷體" w:eastAsia="標楷體" w:hAnsi="標楷體" w:hint="eastAsia"/>
              </w:rPr>
              <w:t>本年度列管須執行家庭暴力處遇計畫，108年截至11月15日為止，共計19人</w:t>
            </w:r>
            <w:r>
              <w:rPr>
                <w:rFonts w:ascii="標楷體" w:eastAsia="標楷體" w:hAnsi="標楷體" w:hint="eastAsia"/>
              </w:rPr>
              <w:t>。</w:t>
            </w:r>
          </w:p>
          <w:p w:rsidR="004F6058" w:rsidRPr="00AD79A3" w:rsidRDefault="004F6058" w:rsidP="00F96082">
            <w:pPr>
              <w:rPr>
                <w:rFonts w:ascii="標楷體" w:eastAsia="標楷體" w:hAnsi="標楷體" w:hint="eastAsia"/>
              </w:rPr>
            </w:pPr>
            <w:r>
              <w:rPr>
                <w:rFonts w:ascii="標楷體" w:eastAsia="標楷體" w:hAnsi="標楷體" w:hint="eastAsia"/>
              </w:rPr>
              <w:t>二</w:t>
            </w:r>
            <w:r w:rsidRPr="00AD79A3">
              <w:rPr>
                <w:rFonts w:ascii="標楷體" w:eastAsia="標楷體" w:hAnsi="標楷體" w:hint="eastAsia"/>
              </w:rPr>
              <w:t>、性侵害犯罪加害人身心治療及輔導教育</w:t>
            </w:r>
          </w:p>
          <w:p w:rsidR="004F6058" w:rsidRDefault="004F6058" w:rsidP="00F96082">
            <w:pPr>
              <w:rPr>
                <w:rFonts w:ascii="標楷體" w:eastAsia="標楷體" w:hAnsi="標楷體"/>
              </w:rPr>
            </w:pPr>
            <w:r w:rsidRPr="004D6685">
              <w:rPr>
                <w:rFonts w:ascii="標楷體" w:eastAsia="標楷體" w:hAnsi="標楷體" w:hint="eastAsia"/>
              </w:rPr>
              <w:t>108年截至目前止，本局列管須執行性侵害加害人身心治療及輔導教育者共計28名</w:t>
            </w:r>
            <w:r>
              <w:rPr>
                <w:rFonts w:ascii="標楷體" w:eastAsia="標楷體" w:hAnsi="標楷體" w:hint="eastAsia"/>
              </w:rPr>
              <w:t>。</w:t>
            </w:r>
          </w:p>
          <w:p w:rsidR="004F6058" w:rsidRPr="00B9721A" w:rsidRDefault="004F6058" w:rsidP="00F96082">
            <w:pPr>
              <w:rPr>
                <w:rFonts w:ascii="標楷體" w:eastAsia="標楷體" w:hAnsi="標楷體" w:hint="eastAsia"/>
              </w:rPr>
            </w:pPr>
          </w:p>
        </w:tc>
      </w:tr>
      <w:tr w:rsidR="004F6058" w:rsidTr="00F96082">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四、健康與醫療組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衛生局</w:t>
            </w:r>
          </w:p>
        </w:tc>
        <w:tc>
          <w:tcPr>
            <w:tcW w:w="5634" w:type="dxa"/>
            <w:shd w:val="clear" w:color="auto" w:fill="auto"/>
          </w:tcPr>
          <w:p w:rsidR="004F6058" w:rsidRPr="00AD79A3" w:rsidRDefault="004F6058" w:rsidP="00F96082">
            <w:pPr>
              <w:rPr>
                <w:rFonts w:ascii="標楷體" w:eastAsia="標楷體" w:hAnsi="標楷體" w:hint="eastAsia"/>
              </w:rPr>
            </w:pPr>
            <w:r w:rsidRPr="00AD79A3">
              <w:rPr>
                <w:rFonts w:ascii="標楷體" w:eastAsia="標楷體" w:hAnsi="標楷體" w:hint="eastAsia"/>
              </w:rPr>
              <w:t>一、金門縣縣民接受人工生殖技術費用補助</w:t>
            </w:r>
          </w:p>
          <w:p w:rsidR="004F6058" w:rsidRDefault="004F6058" w:rsidP="00F96082">
            <w:pPr>
              <w:rPr>
                <w:rFonts w:ascii="標楷體" w:eastAsia="標楷體" w:hAnsi="標楷體"/>
              </w:rPr>
            </w:pPr>
            <w:r w:rsidRPr="004D6685">
              <w:rPr>
                <w:rFonts w:ascii="標楷體" w:eastAsia="標楷體" w:hAnsi="標楷體" w:hint="eastAsia"/>
              </w:rPr>
              <w:t>為鼓勵本縣受孕困難之不孕夫妻進行相關治療，凡設籍本縣三年以上年滿二十歲之不孕夫妻，至衛生福利部評核通過效期內之人工生殖機構施行人工生殖技術，每年最高補助新臺幣8萬元，</w:t>
            </w:r>
            <w:r>
              <w:rPr>
                <w:rFonts w:ascii="標楷體" w:eastAsia="標楷體" w:hAnsi="標楷體" w:hint="eastAsia"/>
              </w:rPr>
              <w:t>截</w:t>
            </w:r>
            <w:r w:rsidRPr="004D6685">
              <w:rPr>
                <w:rFonts w:ascii="標楷體" w:eastAsia="標楷體" w:hAnsi="標楷體" w:hint="eastAsia"/>
              </w:rPr>
              <w:t>至108年11月15日計申請</w:t>
            </w:r>
            <w:r>
              <w:rPr>
                <w:rFonts w:ascii="標楷體" w:eastAsia="標楷體" w:hAnsi="標楷體" w:hint="eastAsia"/>
              </w:rPr>
              <w:t>212</w:t>
            </w:r>
            <w:r w:rsidRPr="004D6685">
              <w:rPr>
                <w:rFonts w:ascii="標楷體" w:eastAsia="標楷體" w:hAnsi="標楷體" w:hint="eastAsia"/>
              </w:rPr>
              <w:t>人，已懷孕</w:t>
            </w:r>
            <w:r>
              <w:rPr>
                <w:rFonts w:ascii="標楷體" w:eastAsia="標楷體" w:hAnsi="標楷體" w:hint="eastAsia"/>
              </w:rPr>
              <w:t>98</w:t>
            </w:r>
            <w:r w:rsidRPr="004D6685">
              <w:rPr>
                <w:rFonts w:ascii="標楷體" w:eastAsia="標楷體" w:hAnsi="標楷體" w:hint="eastAsia"/>
              </w:rPr>
              <w:t>人，計補助新台幣</w:t>
            </w:r>
            <w:r>
              <w:rPr>
                <w:rFonts w:ascii="標楷體" w:eastAsia="標楷體" w:hAnsi="標楷體" w:hint="eastAsia"/>
              </w:rPr>
              <w:t>14,259,686</w:t>
            </w:r>
            <w:r w:rsidRPr="004D6685">
              <w:rPr>
                <w:rFonts w:ascii="標楷體" w:eastAsia="標楷體" w:hAnsi="標楷體" w:hint="eastAsia"/>
              </w:rPr>
              <w:t>元。</w:t>
            </w:r>
          </w:p>
          <w:p w:rsidR="004F6058" w:rsidRPr="00AD79A3" w:rsidRDefault="004F6058" w:rsidP="00F96082">
            <w:pPr>
              <w:rPr>
                <w:rFonts w:ascii="標楷體" w:eastAsia="標楷體" w:hAnsi="標楷體" w:hint="eastAsia"/>
              </w:rPr>
            </w:pPr>
            <w:r w:rsidRPr="00AD79A3">
              <w:rPr>
                <w:rFonts w:ascii="標楷體" w:eastAsia="標楷體" w:hAnsi="標楷體" w:hint="eastAsia"/>
              </w:rPr>
              <w:t>二、子宮頸癌、乳癌防治</w:t>
            </w:r>
          </w:p>
          <w:p w:rsidR="004F6058" w:rsidRDefault="004F6058" w:rsidP="004F6058">
            <w:pPr>
              <w:numPr>
                <w:ilvl w:val="0"/>
                <w:numId w:val="20"/>
              </w:numPr>
              <w:rPr>
                <w:rFonts w:ascii="標楷體" w:eastAsia="標楷體" w:hAnsi="標楷體"/>
              </w:rPr>
            </w:pPr>
            <w:r w:rsidRPr="004D6685">
              <w:rPr>
                <w:rFonts w:ascii="標楷體" w:eastAsia="標楷體" w:hAnsi="標楷體" w:hint="eastAsia"/>
              </w:rPr>
              <w:t>鼓勵30歲以上婦女進行子宮頸抹片檢查，落實陽性個案轉介追蹤，降低子宮頸癌死亡率，本年度計篩檢6,259人，陽性數54人，確診人數3人。</w:t>
            </w:r>
          </w:p>
          <w:p w:rsidR="004F6058" w:rsidRDefault="004F6058" w:rsidP="004F6058">
            <w:pPr>
              <w:numPr>
                <w:ilvl w:val="0"/>
                <w:numId w:val="20"/>
              </w:numPr>
              <w:rPr>
                <w:rFonts w:ascii="標楷體" w:eastAsia="標楷體" w:hAnsi="標楷體"/>
              </w:rPr>
            </w:pPr>
            <w:r w:rsidRPr="004D6685">
              <w:rPr>
                <w:rFonts w:ascii="標楷體" w:eastAsia="標楷體" w:hAnsi="標楷體" w:hint="eastAsia"/>
              </w:rPr>
              <w:t>鼓勵本縣45-69歲婦女進行每2年1次的乳房攝影檢查，落實陽性個案轉介追蹤，降低乳癌死亡率，本年度計篩檢2,332人，陽性數21人，確診人數2人。</w:t>
            </w:r>
          </w:p>
          <w:p w:rsidR="004F6058" w:rsidRPr="004D6685" w:rsidRDefault="004F6058" w:rsidP="00F96082">
            <w:pPr>
              <w:rPr>
                <w:rFonts w:ascii="標楷體" w:eastAsia="標楷體" w:hAnsi="標楷體" w:hint="eastAsia"/>
              </w:rPr>
            </w:pPr>
            <w:r w:rsidRPr="004D6685">
              <w:rPr>
                <w:rFonts w:ascii="標楷體" w:eastAsia="標楷體" w:hAnsi="標楷體" w:hint="eastAsia"/>
              </w:rPr>
              <w:t>三、孕產婦免費接種新型減量三合一補追疫苗</w:t>
            </w:r>
          </w:p>
          <w:p w:rsidR="004F6058" w:rsidRPr="004D6685" w:rsidRDefault="004F6058" w:rsidP="00F96082">
            <w:pPr>
              <w:rPr>
                <w:rFonts w:ascii="標楷體" w:eastAsia="標楷體" w:hAnsi="標楷體"/>
              </w:rPr>
            </w:pPr>
            <w:r w:rsidRPr="00AD79A3">
              <w:rPr>
                <w:rFonts w:ascii="標楷體" w:eastAsia="標楷體" w:hAnsi="標楷體" w:hint="eastAsia"/>
              </w:rPr>
              <w:t>為防止新生兒罹患百日咳，本縣補助懷孕28-36週的孕婦或產後婦女接種一劑新型減量三合一補追疫苗(Tdap5)，藉由母親抗體傳遞給胎兒，以提升對新生兒之保護。</w:t>
            </w:r>
            <w:r>
              <w:rPr>
                <w:rFonts w:ascii="標楷體" w:eastAsia="標楷體" w:hAnsi="標楷體" w:hint="eastAsia"/>
              </w:rPr>
              <w:t>截至108</w:t>
            </w:r>
            <w:r w:rsidRPr="00AD79A3">
              <w:rPr>
                <w:rFonts w:ascii="標楷體" w:eastAsia="標楷體" w:hAnsi="標楷體" w:hint="eastAsia"/>
              </w:rPr>
              <w:t>年</w:t>
            </w:r>
            <w:r>
              <w:rPr>
                <w:rFonts w:ascii="標楷體" w:eastAsia="標楷體" w:hAnsi="標楷體" w:hint="eastAsia"/>
              </w:rPr>
              <w:t>11</w:t>
            </w:r>
            <w:r w:rsidRPr="00AD79A3">
              <w:rPr>
                <w:rFonts w:ascii="標楷體" w:eastAsia="標楷體" w:hAnsi="標楷體" w:hint="eastAsia"/>
              </w:rPr>
              <w:t>月接種</w:t>
            </w:r>
            <w:r>
              <w:rPr>
                <w:rFonts w:ascii="標楷體" w:eastAsia="標楷體" w:hAnsi="標楷體" w:hint="eastAsia"/>
              </w:rPr>
              <w:t>計463</w:t>
            </w:r>
            <w:r w:rsidRPr="00AD79A3">
              <w:rPr>
                <w:rFonts w:ascii="標楷體" w:eastAsia="標楷體" w:hAnsi="標楷體" w:hint="eastAsia"/>
              </w:rPr>
              <w:t>位孕產婦。</w:t>
            </w:r>
          </w:p>
        </w:tc>
      </w:tr>
      <w:tr w:rsidR="004F6058" w:rsidTr="00F96082">
        <w:tc>
          <w:tcPr>
            <w:tcW w:w="2136" w:type="dxa"/>
            <w:vMerge w:val="restart"/>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五、交通與環境組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觀光處</w:t>
            </w:r>
          </w:p>
          <w:p w:rsidR="004F6058" w:rsidRPr="00B9721A" w:rsidRDefault="004F6058" w:rsidP="00F96082">
            <w:pPr>
              <w:jc w:val="center"/>
              <w:rPr>
                <w:rFonts w:ascii="標楷體" w:eastAsia="標楷體" w:hAnsi="標楷體"/>
              </w:rPr>
            </w:pPr>
            <w:r w:rsidRPr="00B9721A">
              <w:rPr>
                <w:rFonts w:ascii="標楷體" w:eastAsia="標楷體" w:hAnsi="標楷體" w:hint="eastAsia"/>
              </w:rPr>
              <w:t>衛生局</w:t>
            </w:r>
          </w:p>
        </w:tc>
        <w:tc>
          <w:tcPr>
            <w:tcW w:w="5634"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婦幼停車場設置與規劃。</w:t>
            </w:r>
          </w:p>
        </w:tc>
      </w:tr>
      <w:tr w:rsidR="004F6058" w:rsidTr="00F96082">
        <w:tc>
          <w:tcPr>
            <w:tcW w:w="2136" w:type="dxa"/>
            <w:vMerge/>
            <w:shd w:val="clear" w:color="auto" w:fill="auto"/>
          </w:tcPr>
          <w:p w:rsidR="004F6058" w:rsidRPr="00B9721A" w:rsidRDefault="004F6058" w:rsidP="00F96082">
            <w:pPr>
              <w:rPr>
                <w:rFonts w:ascii="標楷體" w:eastAsia="標楷體" w:hAnsi="標楷體"/>
              </w:rPr>
            </w:pP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Pr="00B9721A" w:rsidRDefault="004F6058" w:rsidP="00F96082">
            <w:pPr>
              <w:rPr>
                <w:rFonts w:ascii="標楷體" w:eastAsia="標楷體" w:hAnsi="標楷體"/>
              </w:rPr>
            </w:pPr>
            <w:r>
              <w:rPr>
                <w:rFonts w:ascii="標楷體" w:eastAsia="標楷體" w:hAnsi="標楷體" w:hint="eastAsia"/>
              </w:rPr>
              <w:t>金城綜合福利館及托嬰中心</w:t>
            </w:r>
            <w:r w:rsidRPr="00B9721A">
              <w:rPr>
                <w:rFonts w:ascii="標楷體" w:eastAsia="標楷體" w:hAnsi="標楷體" w:hint="eastAsia"/>
              </w:rPr>
              <w:t>布建，以減輕婦女照顧幼兒及老年人之壓力，重回就業市場。</w:t>
            </w:r>
          </w:p>
        </w:tc>
      </w:tr>
      <w:tr w:rsidR="004F6058" w:rsidTr="00F96082">
        <w:tc>
          <w:tcPr>
            <w:tcW w:w="2136" w:type="dxa"/>
            <w:shd w:val="clear" w:color="auto" w:fill="auto"/>
          </w:tcPr>
          <w:p w:rsidR="004F6058" w:rsidRPr="00B9721A" w:rsidRDefault="004F6058" w:rsidP="00F96082">
            <w:pPr>
              <w:rPr>
                <w:rFonts w:ascii="標楷體" w:eastAsia="標楷體" w:hAnsi="標楷體"/>
              </w:rPr>
            </w:pPr>
            <w:r w:rsidRPr="00B9721A">
              <w:rPr>
                <w:rFonts w:ascii="標楷體" w:eastAsia="標楷體" w:hAnsi="標楷體" w:hint="eastAsia"/>
              </w:rPr>
              <w:t>六、人口、婚姻與家庭組</w:t>
            </w:r>
          </w:p>
        </w:tc>
        <w:tc>
          <w:tcPr>
            <w:tcW w:w="1516" w:type="dxa"/>
            <w:shd w:val="clear" w:color="auto" w:fill="auto"/>
          </w:tcPr>
          <w:p w:rsidR="004F6058" w:rsidRPr="00B9721A" w:rsidRDefault="004F6058" w:rsidP="00F96082">
            <w:pPr>
              <w:jc w:val="center"/>
              <w:rPr>
                <w:rFonts w:ascii="標楷體" w:eastAsia="標楷體" w:hAnsi="標楷體"/>
              </w:rPr>
            </w:pPr>
            <w:r w:rsidRPr="00B9721A">
              <w:rPr>
                <w:rFonts w:ascii="標楷體" w:eastAsia="標楷體" w:hAnsi="標楷體" w:hint="eastAsia"/>
              </w:rPr>
              <w:t>社會處</w:t>
            </w:r>
          </w:p>
        </w:tc>
        <w:tc>
          <w:tcPr>
            <w:tcW w:w="5634" w:type="dxa"/>
            <w:shd w:val="clear" w:color="auto" w:fill="auto"/>
          </w:tcPr>
          <w:p w:rsidR="004F6058" w:rsidRPr="00B9721A" w:rsidRDefault="004F6058" w:rsidP="00F96082">
            <w:pPr>
              <w:rPr>
                <w:rFonts w:ascii="標楷體" w:eastAsia="標楷體" w:hAnsi="標楷體"/>
              </w:rPr>
            </w:pPr>
            <w:r w:rsidRPr="00C63A38">
              <w:rPr>
                <w:rFonts w:ascii="標楷體" w:eastAsia="標楷體" w:hAnsi="標楷體" w:hint="eastAsia"/>
              </w:rPr>
              <w:t>108年4月21日辦理社區宣導-家務分工計1場次。利用講座課程宣導讓婦(少)女及其家庭成員更瞭解男女平等分擔家庭責任，加強男性參與家務工作及加深性別平權之議題。參加共計55人次。</w:t>
            </w:r>
          </w:p>
        </w:tc>
      </w:tr>
    </w:tbl>
    <w:p w:rsidR="003F5D8D" w:rsidRPr="00312E06" w:rsidRDefault="003F5D8D">
      <w:pPr>
        <w:rPr>
          <w:rFonts w:hint="eastAsia"/>
        </w:rPr>
      </w:pPr>
      <w:bookmarkStart w:id="0" w:name="_GoBack"/>
      <w:bookmarkEnd w:id="0"/>
    </w:p>
    <w:sectPr w:rsidR="003F5D8D" w:rsidRPr="00312E06" w:rsidSect="00312E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98" w:rsidRDefault="00BE3798" w:rsidP="00A77CE8">
      <w:r>
        <w:separator/>
      </w:r>
    </w:p>
  </w:endnote>
  <w:endnote w:type="continuationSeparator" w:id="0">
    <w:p w:rsidR="00BE3798" w:rsidRDefault="00BE3798" w:rsidP="00A7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98" w:rsidRDefault="00BE3798" w:rsidP="00A77CE8">
      <w:r>
        <w:separator/>
      </w:r>
    </w:p>
  </w:footnote>
  <w:footnote w:type="continuationSeparator" w:id="0">
    <w:p w:rsidR="00BE3798" w:rsidRDefault="00BE3798" w:rsidP="00A7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6C1"/>
    <w:multiLevelType w:val="hybridMultilevel"/>
    <w:tmpl w:val="A8D4361C"/>
    <w:lvl w:ilvl="0" w:tplc="F06C12C6">
      <w:start w:val="3"/>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91449"/>
    <w:multiLevelType w:val="hybridMultilevel"/>
    <w:tmpl w:val="B8B4846C"/>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90FC5"/>
    <w:multiLevelType w:val="hybridMultilevel"/>
    <w:tmpl w:val="1B68ACC8"/>
    <w:lvl w:ilvl="0" w:tplc="E826AAC4">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A2857"/>
    <w:multiLevelType w:val="hybridMultilevel"/>
    <w:tmpl w:val="ABAEB004"/>
    <w:lvl w:ilvl="0" w:tplc="3C4A5BDE">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774721"/>
    <w:multiLevelType w:val="hybridMultilevel"/>
    <w:tmpl w:val="E12A8E96"/>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043E1"/>
    <w:multiLevelType w:val="hybridMultilevel"/>
    <w:tmpl w:val="80A00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562C0"/>
    <w:multiLevelType w:val="hybridMultilevel"/>
    <w:tmpl w:val="6ECCE008"/>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F647C"/>
    <w:multiLevelType w:val="hybridMultilevel"/>
    <w:tmpl w:val="553C6D24"/>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312417"/>
    <w:multiLevelType w:val="hybridMultilevel"/>
    <w:tmpl w:val="7BA4B25C"/>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E817BB"/>
    <w:multiLevelType w:val="hybridMultilevel"/>
    <w:tmpl w:val="18283F40"/>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8365A"/>
    <w:multiLevelType w:val="hybridMultilevel"/>
    <w:tmpl w:val="8FCE37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E36A83"/>
    <w:multiLevelType w:val="hybridMultilevel"/>
    <w:tmpl w:val="D8909A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B45D0C"/>
    <w:multiLevelType w:val="hybridMultilevel"/>
    <w:tmpl w:val="C4B6F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455B49"/>
    <w:multiLevelType w:val="hybridMultilevel"/>
    <w:tmpl w:val="8EDE6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437F65"/>
    <w:multiLevelType w:val="hybridMultilevel"/>
    <w:tmpl w:val="65FA862E"/>
    <w:lvl w:ilvl="0" w:tplc="27BCC112">
      <w:start w:val="1"/>
      <w:numFmt w:val="taiwaneseCountingThousand"/>
      <w:lvlText w:val="(%1)"/>
      <w:lvlJc w:val="left"/>
      <w:pPr>
        <w:ind w:left="480" w:hanging="480"/>
      </w:pPr>
      <w:rPr>
        <w:rFonts w:ascii="標楷體" w:eastAsia="標楷體" w:hAnsi="標楷體" w:hint="eastAsia"/>
        <w:b w:val="0"/>
        <w:i w:val="0"/>
        <w:color w:val="auto"/>
        <w:sz w:val="24"/>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F46C6F"/>
    <w:multiLevelType w:val="hybridMultilevel"/>
    <w:tmpl w:val="EFD6910E"/>
    <w:lvl w:ilvl="0" w:tplc="0409000F">
      <w:start w:val="1"/>
      <w:numFmt w:val="decimal"/>
      <w:lvlText w:val="%1."/>
      <w:lvlJc w:val="left"/>
      <w:pPr>
        <w:ind w:left="480" w:hanging="480"/>
      </w:pPr>
    </w:lvl>
    <w:lvl w:ilvl="1" w:tplc="70E2207A">
      <w:start w:val="4"/>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3F35D8"/>
    <w:multiLevelType w:val="hybridMultilevel"/>
    <w:tmpl w:val="DFD456E0"/>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B0055E"/>
    <w:multiLevelType w:val="hybridMultilevel"/>
    <w:tmpl w:val="51024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80576B"/>
    <w:multiLevelType w:val="hybridMultilevel"/>
    <w:tmpl w:val="F5DA5858"/>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A14D8E"/>
    <w:multiLevelType w:val="hybridMultilevel"/>
    <w:tmpl w:val="F314D2FA"/>
    <w:lvl w:ilvl="0" w:tplc="D47418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A525AB"/>
    <w:multiLevelType w:val="hybridMultilevel"/>
    <w:tmpl w:val="3D1A6572"/>
    <w:lvl w:ilvl="0" w:tplc="4878B8A8">
      <w:start w:val="1"/>
      <w:numFmt w:val="taiwaneseCountingThousand"/>
      <w:lvlText w:val="(%1)"/>
      <w:lvlJc w:val="left"/>
      <w:pPr>
        <w:ind w:left="600" w:hanging="60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9"/>
  </w:num>
  <w:num w:numId="4">
    <w:abstractNumId w:val="19"/>
  </w:num>
  <w:num w:numId="5">
    <w:abstractNumId w:val="4"/>
  </w:num>
  <w:num w:numId="6">
    <w:abstractNumId w:val="14"/>
  </w:num>
  <w:num w:numId="7">
    <w:abstractNumId w:val="16"/>
  </w:num>
  <w:num w:numId="8">
    <w:abstractNumId w:val="0"/>
  </w:num>
  <w:num w:numId="9">
    <w:abstractNumId w:val="20"/>
  </w:num>
  <w:num w:numId="10">
    <w:abstractNumId w:val="6"/>
  </w:num>
  <w:num w:numId="11">
    <w:abstractNumId w:val="8"/>
  </w:num>
  <w:num w:numId="12">
    <w:abstractNumId w:val="18"/>
  </w:num>
  <w:num w:numId="13">
    <w:abstractNumId w:val="15"/>
  </w:num>
  <w:num w:numId="14">
    <w:abstractNumId w:val="10"/>
  </w:num>
  <w:num w:numId="15">
    <w:abstractNumId w:val="17"/>
  </w:num>
  <w:num w:numId="16">
    <w:abstractNumId w:val="2"/>
  </w:num>
  <w:num w:numId="17">
    <w:abstractNumId w:val="3"/>
  </w:num>
  <w:num w:numId="18">
    <w:abstractNumId w:val="13"/>
  </w:num>
  <w:num w:numId="19">
    <w:abstractNumId w:val="1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06"/>
    <w:rsid w:val="000469D1"/>
    <w:rsid w:val="0012284A"/>
    <w:rsid w:val="002A2AC9"/>
    <w:rsid w:val="002B50C3"/>
    <w:rsid w:val="00312E06"/>
    <w:rsid w:val="00336413"/>
    <w:rsid w:val="003469E7"/>
    <w:rsid w:val="003C5E59"/>
    <w:rsid w:val="003F5D8D"/>
    <w:rsid w:val="004F6058"/>
    <w:rsid w:val="00850BE9"/>
    <w:rsid w:val="0097606F"/>
    <w:rsid w:val="009864A0"/>
    <w:rsid w:val="009C65AE"/>
    <w:rsid w:val="00A77CE8"/>
    <w:rsid w:val="00AC37FE"/>
    <w:rsid w:val="00B03441"/>
    <w:rsid w:val="00BE3798"/>
    <w:rsid w:val="00BF3EAB"/>
    <w:rsid w:val="00FB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6A78F-DB62-4892-8D75-CDDC3AA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E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2E06"/>
    <w:pPr>
      <w:ind w:leftChars="200" w:left="480"/>
    </w:pPr>
  </w:style>
  <w:style w:type="character" w:styleId="a5">
    <w:name w:val="annotation reference"/>
    <w:basedOn w:val="a0"/>
    <w:uiPriority w:val="99"/>
    <w:semiHidden/>
    <w:unhideWhenUsed/>
    <w:rsid w:val="002B50C3"/>
    <w:rPr>
      <w:sz w:val="18"/>
      <w:szCs w:val="18"/>
    </w:rPr>
  </w:style>
  <w:style w:type="paragraph" w:styleId="a6">
    <w:name w:val="annotation text"/>
    <w:basedOn w:val="a"/>
    <w:link w:val="a7"/>
    <w:uiPriority w:val="99"/>
    <w:semiHidden/>
    <w:unhideWhenUsed/>
    <w:rsid w:val="002B50C3"/>
  </w:style>
  <w:style w:type="character" w:customStyle="1" w:styleId="a7">
    <w:name w:val="註解文字 字元"/>
    <w:basedOn w:val="a0"/>
    <w:link w:val="a6"/>
    <w:uiPriority w:val="99"/>
    <w:semiHidden/>
    <w:rsid w:val="002B50C3"/>
  </w:style>
  <w:style w:type="paragraph" w:styleId="a8">
    <w:name w:val="annotation subject"/>
    <w:basedOn w:val="a6"/>
    <w:next w:val="a6"/>
    <w:link w:val="a9"/>
    <w:uiPriority w:val="99"/>
    <w:semiHidden/>
    <w:unhideWhenUsed/>
    <w:rsid w:val="002B50C3"/>
    <w:rPr>
      <w:b/>
      <w:bCs/>
    </w:rPr>
  </w:style>
  <w:style w:type="character" w:customStyle="1" w:styleId="a9">
    <w:name w:val="註解主旨 字元"/>
    <w:basedOn w:val="a7"/>
    <w:link w:val="a8"/>
    <w:uiPriority w:val="99"/>
    <w:semiHidden/>
    <w:rsid w:val="002B50C3"/>
    <w:rPr>
      <w:b/>
      <w:bCs/>
    </w:rPr>
  </w:style>
  <w:style w:type="paragraph" w:styleId="aa">
    <w:name w:val="Balloon Text"/>
    <w:basedOn w:val="a"/>
    <w:link w:val="ab"/>
    <w:uiPriority w:val="99"/>
    <w:semiHidden/>
    <w:unhideWhenUsed/>
    <w:rsid w:val="002B50C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B50C3"/>
    <w:rPr>
      <w:rFonts w:asciiTheme="majorHAnsi" w:eastAsiaTheme="majorEastAsia" w:hAnsiTheme="majorHAnsi" w:cstheme="majorBidi"/>
      <w:sz w:val="18"/>
      <w:szCs w:val="18"/>
    </w:rPr>
  </w:style>
  <w:style w:type="paragraph" w:styleId="ac">
    <w:name w:val="header"/>
    <w:basedOn w:val="a"/>
    <w:link w:val="ad"/>
    <w:uiPriority w:val="99"/>
    <w:unhideWhenUsed/>
    <w:rsid w:val="00A77CE8"/>
    <w:pPr>
      <w:tabs>
        <w:tab w:val="center" w:pos="4153"/>
        <w:tab w:val="right" w:pos="8306"/>
      </w:tabs>
      <w:snapToGrid w:val="0"/>
    </w:pPr>
    <w:rPr>
      <w:sz w:val="20"/>
      <w:szCs w:val="20"/>
    </w:rPr>
  </w:style>
  <w:style w:type="character" w:customStyle="1" w:styleId="ad">
    <w:name w:val="頁首 字元"/>
    <w:basedOn w:val="a0"/>
    <w:link w:val="ac"/>
    <w:uiPriority w:val="99"/>
    <w:rsid w:val="00A77CE8"/>
    <w:rPr>
      <w:sz w:val="20"/>
      <w:szCs w:val="20"/>
    </w:rPr>
  </w:style>
  <w:style w:type="paragraph" w:styleId="ae">
    <w:name w:val="footer"/>
    <w:basedOn w:val="a"/>
    <w:link w:val="af"/>
    <w:uiPriority w:val="99"/>
    <w:unhideWhenUsed/>
    <w:rsid w:val="00A77CE8"/>
    <w:pPr>
      <w:tabs>
        <w:tab w:val="center" w:pos="4153"/>
        <w:tab w:val="right" w:pos="8306"/>
      </w:tabs>
      <w:snapToGrid w:val="0"/>
    </w:pPr>
    <w:rPr>
      <w:sz w:val="20"/>
      <w:szCs w:val="20"/>
    </w:rPr>
  </w:style>
  <w:style w:type="character" w:customStyle="1" w:styleId="af">
    <w:name w:val="頁尾 字元"/>
    <w:basedOn w:val="a0"/>
    <w:link w:val="ae"/>
    <w:uiPriority w:val="99"/>
    <w:rsid w:val="00A77CE8"/>
    <w:rPr>
      <w:sz w:val="20"/>
      <w:szCs w:val="20"/>
    </w:rPr>
  </w:style>
  <w:style w:type="character" w:customStyle="1" w:styleId="dialogtext1">
    <w:name w:val="dialog_text1"/>
    <w:basedOn w:val="a0"/>
    <w:rsid w:val="003C5E59"/>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許雅涵</dc:creator>
  <cp:keywords/>
  <dc:description/>
  <cp:lastModifiedBy>許雅涵</cp:lastModifiedBy>
  <cp:revision>8</cp:revision>
  <dcterms:created xsi:type="dcterms:W3CDTF">2019-07-30T08:44:00Z</dcterms:created>
  <dcterms:modified xsi:type="dcterms:W3CDTF">2020-01-20T02:18:00Z</dcterms:modified>
</cp:coreProperties>
</file>