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9A" w:rsidRPr="008401D8" w:rsidRDefault="003874E9" w:rsidP="003874E9">
      <w:pPr>
        <w:jc w:val="center"/>
        <w:rPr>
          <w:rFonts w:ascii="標楷體" w:eastAsia="標楷體" w:hAnsi="標楷體"/>
          <w:b/>
          <w:sz w:val="36"/>
          <w:szCs w:val="36"/>
        </w:rPr>
      </w:pPr>
      <w:bookmarkStart w:id="0" w:name="_GoBack"/>
      <w:bookmarkEnd w:id="0"/>
      <w:r w:rsidRPr="008401D8">
        <w:rPr>
          <w:rFonts w:ascii="標楷體" w:eastAsia="標楷體" w:hAnsi="標楷體" w:hint="eastAsia"/>
          <w:b/>
          <w:sz w:val="36"/>
          <w:szCs w:val="36"/>
        </w:rPr>
        <w:t>村里節電大車拼評比及獎勵作業要點</w:t>
      </w:r>
    </w:p>
    <w:p w:rsidR="00B96F6D" w:rsidRPr="00A51D82" w:rsidRDefault="000B367C" w:rsidP="000B367C">
      <w:pPr>
        <w:pStyle w:val="a3"/>
        <w:numPr>
          <w:ilvl w:val="0"/>
          <w:numId w:val="1"/>
        </w:numPr>
        <w:snapToGrid w:val="0"/>
        <w:spacing w:line="300" w:lineRule="auto"/>
        <w:ind w:leftChars="0"/>
        <w:jc w:val="both"/>
        <w:rPr>
          <w:rFonts w:ascii="Calibri" w:eastAsia="標楷體" w:hAnsi="Calibri" w:cs="Times New Roman"/>
          <w:sz w:val="28"/>
          <w:szCs w:val="28"/>
        </w:rPr>
      </w:pPr>
      <w:r w:rsidRPr="000B367C">
        <w:rPr>
          <w:rFonts w:ascii="Calibri" w:eastAsia="標楷體" w:hAnsi="Calibri" w:cs="Times New Roman" w:hint="eastAsia"/>
          <w:sz w:val="28"/>
          <w:szCs w:val="28"/>
        </w:rPr>
        <w:t>經濟部</w:t>
      </w:r>
      <w:r w:rsidRPr="000B367C">
        <w:rPr>
          <w:rFonts w:ascii="Calibri" w:eastAsia="標楷體" w:hAnsi="Calibri" w:cs="Times New Roman" w:hint="eastAsia"/>
          <w:sz w:val="28"/>
          <w:szCs w:val="28"/>
        </w:rPr>
        <w:t>(</w:t>
      </w:r>
      <w:r w:rsidRPr="000B367C">
        <w:rPr>
          <w:rFonts w:ascii="Calibri" w:eastAsia="標楷體" w:hAnsi="Calibri" w:cs="Times New Roman" w:hint="eastAsia"/>
          <w:sz w:val="28"/>
          <w:szCs w:val="28"/>
        </w:rPr>
        <w:t>以下</w:t>
      </w:r>
      <w:r w:rsidR="006C7DE7">
        <w:rPr>
          <w:rFonts w:ascii="Calibri" w:eastAsia="標楷體" w:hAnsi="Calibri" w:cs="Times New Roman" w:hint="eastAsia"/>
          <w:sz w:val="28"/>
          <w:szCs w:val="28"/>
        </w:rPr>
        <w:t>簡</w:t>
      </w:r>
      <w:r w:rsidRPr="000B367C">
        <w:rPr>
          <w:rFonts w:ascii="Calibri" w:eastAsia="標楷體" w:hAnsi="Calibri" w:cs="Times New Roman" w:hint="eastAsia"/>
          <w:sz w:val="28"/>
          <w:szCs w:val="28"/>
        </w:rPr>
        <w:t>稱本部</w:t>
      </w:r>
      <w:r w:rsidRPr="000B367C">
        <w:rPr>
          <w:rFonts w:ascii="Calibri" w:eastAsia="標楷體" w:hAnsi="Calibri" w:cs="Times New Roman" w:hint="eastAsia"/>
          <w:sz w:val="28"/>
          <w:szCs w:val="28"/>
        </w:rPr>
        <w:t>)</w:t>
      </w:r>
      <w:r w:rsidRPr="000B367C">
        <w:rPr>
          <w:rFonts w:ascii="Calibri" w:eastAsia="標楷體" w:hAnsi="Calibri" w:cs="Times New Roman" w:hint="eastAsia"/>
          <w:sz w:val="28"/>
          <w:szCs w:val="28"/>
        </w:rPr>
        <w:t>為鼓勵全民參與節電工作，促進家庭節電，並建構節電氛圍，推動「村里節電大車拼方案」，辦理村里節電評比</w:t>
      </w:r>
      <w:r w:rsidR="00380694">
        <w:rPr>
          <w:rFonts w:ascii="Calibri" w:eastAsia="標楷體" w:hAnsi="Calibri" w:cs="Times New Roman" w:hint="eastAsia"/>
          <w:sz w:val="28"/>
          <w:szCs w:val="28"/>
        </w:rPr>
        <w:t>及</w:t>
      </w:r>
      <w:r w:rsidRPr="000B367C">
        <w:rPr>
          <w:rFonts w:ascii="Calibri" w:eastAsia="標楷體" w:hAnsi="Calibri" w:cs="Times New Roman" w:hint="eastAsia"/>
          <w:sz w:val="28"/>
          <w:szCs w:val="28"/>
        </w:rPr>
        <w:t>獎勵事宜，特訂定本要點</w:t>
      </w:r>
      <w:r w:rsidR="00B96F6D" w:rsidRPr="00A51D82">
        <w:rPr>
          <w:rFonts w:ascii="Calibri" w:eastAsia="標楷體" w:hAnsi="Calibri" w:cs="Times New Roman" w:hint="eastAsia"/>
          <w:sz w:val="28"/>
          <w:szCs w:val="28"/>
        </w:rPr>
        <w:t>。</w:t>
      </w:r>
    </w:p>
    <w:p w:rsidR="00B029C4" w:rsidRPr="00A51D82" w:rsidRDefault="006B372A" w:rsidP="00A51D82">
      <w:pPr>
        <w:pStyle w:val="a3"/>
        <w:numPr>
          <w:ilvl w:val="0"/>
          <w:numId w:val="1"/>
        </w:numPr>
        <w:snapToGrid w:val="0"/>
        <w:spacing w:line="300" w:lineRule="auto"/>
        <w:ind w:leftChars="0"/>
        <w:jc w:val="both"/>
        <w:rPr>
          <w:rFonts w:ascii="Calibri" w:eastAsia="標楷體" w:hAnsi="Calibri" w:cs="Times New Roman"/>
          <w:sz w:val="28"/>
          <w:szCs w:val="28"/>
        </w:rPr>
      </w:pPr>
      <w:r w:rsidRPr="00A51D82">
        <w:rPr>
          <w:rFonts w:ascii="Calibri" w:eastAsia="標楷體" w:hAnsi="Calibri" w:cs="Times New Roman" w:hint="eastAsia"/>
          <w:sz w:val="28"/>
          <w:szCs w:val="28"/>
        </w:rPr>
        <w:t>本要點用詞，定義如下</w:t>
      </w:r>
      <w:r w:rsidR="008401D8">
        <w:rPr>
          <w:rFonts w:ascii="Calibri" w:eastAsia="標楷體" w:hAnsi="Calibri" w:cs="Times New Roman" w:hint="eastAsia"/>
          <w:sz w:val="28"/>
          <w:szCs w:val="28"/>
        </w:rPr>
        <w:t>:</w:t>
      </w:r>
    </w:p>
    <w:p w:rsidR="00FE503C" w:rsidRPr="00A51D82" w:rsidRDefault="00FE503C" w:rsidP="00EE4AAA">
      <w:pPr>
        <w:pStyle w:val="a3"/>
        <w:numPr>
          <w:ilvl w:val="0"/>
          <w:numId w:val="11"/>
        </w:numPr>
        <w:adjustRightInd w:val="0"/>
        <w:snapToGrid w:val="0"/>
        <w:spacing w:line="520" w:lineRule="exact"/>
        <w:ind w:leftChars="0" w:left="658" w:hanging="505"/>
        <w:jc w:val="both"/>
        <w:rPr>
          <w:rFonts w:eastAsia="標楷體"/>
          <w:sz w:val="28"/>
          <w:szCs w:val="28"/>
        </w:rPr>
      </w:pPr>
      <w:r w:rsidRPr="00A51D82">
        <w:rPr>
          <w:rFonts w:ascii="Calibri" w:eastAsia="標楷體" w:hAnsi="Calibri" w:cs="Times New Roman" w:hint="eastAsia"/>
          <w:sz w:val="28"/>
          <w:szCs w:val="28"/>
        </w:rPr>
        <w:t>家庭用電：指</w:t>
      </w:r>
      <w:r w:rsidR="00780338" w:rsidRPr="00A51D82">
        <w:rPr>
          <w:rFonts w:ascii="Calibri" w:eastAsia="標楷體" w:hAnsi="Calibri" w:cs="Times New Roman" w:hint="eastAsia"/>
          <w:sz w:val="28"/>
          <w:szCs w:val="28"/>
        </w:rPr>
        <w:t>台灣電力股份有限公司</w:t>
      </w:r>
      <w:r w:rsidR="006C7DE7">
        <w:rPr>
          <w:rFonts w:ascii="Calibri" w:eastAsia="標楷體" w:hAnsi="Calibri" w:cs="Times New Roman" w:hint="eastAsia"/>
          <w:sz w:val="28"/>
          <w:szCs w:val="28"/>
        </w:rPr>
        <w:t>(</w:t>
      </w:r>
      <w:r w:rsidR="006C7DE7">
        <w:rPr>
          <w:rFonts w:ascii="Calibri" w:eastAsia="標楷體" w:hAnsi="Calibri" w:cs="Times New Roman" w:hint="eastAsia"/>
          <w:sz w:val="28"/>
          <w:szCs w:val="28"/>
        </w:rPr>
        <w:t>以下簡稱台電公司</w:t>
      </w:r>
      <w:r w:rsidR="006C7DE7">
        <w:rPr>
          <w:rFonts w:ascii="Calibri" w:eastAsia="標楷體" w:hAnsi="Calibri" w:cs="Times New Roman" w:hint="eastAsia"/>
          <w:sz w:val="28"/>
          <w:szCs w:val="28"/>
        </w:rPr>
        <w:t>)</w:t>
      </w:r>
      <w:r w:rsidRPr="00A51D82">
        <w:rPr>
          <w:rFonts w:ascii="Calibri" w:eastAsia="標楷體" w:hAnsi="Calibri" w:cs="Times New Roman" w:hint="eastAsia"/>
          <w:sz w:val="28"/>
          <w:szCs w:val="28"/>
        </w:rPr>
        <w:t>表燈非營業用戶之用電，不含機關、學校。</w:t>
      </w:r>
    </w:p>
    <w:p w:rsidR="00FE503C" w:rsidRPr="00A51D82" w:rsidRDefault="00FE503C" w:rsidP="000B367C">
      <w:pPr>
        <w:pStyle w:val="a3"/>
        <w:numPr>
          <w:ilvl w:val="0"/>
          <w:numId w:val="11"/>
        </w:numPr>
        <w:adjustRightInd w:val="0"/>
        <w:snapToGrid w:val="0"/>
        <w:spacing w:line="520" w:lineRule="exact"/>
        <w:ind w:leftChars="0" w:left="658" w:hanging="505"/>
        <w:jc w:val="both"/>
        <w:rPr>
          <w:rFonts w:eastAsia="標楷體"/>
          <w:sz w:val="28"/>
          <w:szCs w:val="28"/>
        </w:rPr>
      </w:pPr>
      <w:r w:rsidRPr="00A51D82">
        <w:rPr>
          <w:rFonts w:ascii="Calibri" w:eastAsia="標楷體" w:hAnsi="Calibri" w:cs="Times New Roman" w:hint="eastAsia"/>
          <w:sz w:val="28"/>
          <w:szCs w:val="28"/>
        </w:rPr>
        <w:t>社區節電改善</w:t>
      </w:r>
      <w:r w:rsidR="00380694">
        <w:rPr>
          <w:rFonts w:ascii="Calibri" w:eastAsia="標楷體" w:hAnsi="Calibri" w:cs="Times New Roman" w:hint="eastAsia"/>
          <w:sz w:val="28"/>
          <w:szCs w:val="28"/>
        </w:rPr>
        <w:t>及</w:t>
      </w:r>
      <w:r w:rsidR="001F7303" w:rsidRPr="00A51D82">
        <w:rPr>
          <w:rFonts w:ascii="Calibri" w:eastAsia="標楷體" w:hAnsi="Calibri" w:cs="Times New Roman" w:hint="eastAsia"/>
          <w:sz w:val="28"/>
          <w:szCs w:val="28"/>
        </w:rPr>
        <w:t>推廣</w:t>
      </w:r>
      <w:r w:rsidRPr="00A51D82">
        <w:rPr>
          <w:rFonts w:ascii="Calibri" w:eastAsia="標楷體" w:hAnsi="Calibri" w:cs="Times New Roman" w:hint="eastAsia"/>
          <w:sz w:val="28"/>
          <w:szCs w:val="28"/>
        </w:rPr>
        <w:t>：</w:t>
      </w:r>
      <w:r w:rsidR="000B367C" w:rsidRPr="000B367C">
        <w:rPr>
          <w:rFonts w:ascii="Calibri" w:eastAsia="標楷體" w:hAnsi="Calibri" w:cs="Times New Roman" w:hint="eastAsia"/>
          <w:sz w:val="28"/>
          <w:szCs w:val="28"/>
        </w:rPr>
        <w:t>指針對村里居民活動之公共場所</w:t>
      </w:r>
      <w:r w:rsidR="000B367C" w:rsidRPr="000B367C">
        <w:rPr>
          <w:rFonts w:ascii="Calibri" w:eastAsia="標楷體" w:hAnsi="Calibri" w:cs="Times New Roman" w:hint="eastAsia"/>
          <w:sz w:val="28"/>
          <w:szCs w:val="28"/>
        </w:rPr>
        <w:t>(</w:t>
      </w:r>
      <w:r w:rsidR="000B367C" w:rsidRPr="000B367C">
        <w:rPr>
          <w:rFonts w:ascii="Calibri" w:eastAsia="標楷體" w:hAnsi="Calibri" w:cs="Times New Roman" w:hint="eastAsia"/>
          <w:sz w:val="28"/>
          <w:szCs w:val="28"/>
        </w:rPr>
        <w:t>如活動中心、集會所</w:t>
      </w:r>
      <w:r w:rsidR="000B367C" w:rsidRPr="000B367C">
        <w:rPr>
          <w:rFonts w:ascii="Calibri" w:eastAsia="標楷體" w:hAnsi="Calibri" w:cs="Times New Roman" w:hint="eastAsia"/>
          <w:sz w:val="28"/>
          <w:szCs w:val="28"/>
        </w:rPr>
        <w:t>)</w:t>
      </w:r>
      <w:r w:rsidR="000B367C" w:rsidRPr="000B367C">
        <w:rPr>
          <w:rFonts w:ascii="Calibri" w:eastAsia="標楷體" w:hAnsi="Calibri" w:cs="Times New Roman" w:hint="eastAsia"/>
          <w:sz w:val="28"/>
          <w:szCs w:val="28"/>
        </w:rPr>
        <w:t>進行照明或空調汰換等節能改善工作；或對村里民辦理節約用電推廣活動</w:t>
      </w:r>
      <w:r w:rsidR="001F7303" w:rsidRPr="00A51D82">
        <w:rPr>
          <w:rFonts w:ascii="Calibri" w:eastAsia="標楷體" w:hAnsi="Calibri" w:cs="Times New Roman" w:hint="eastAsia"/>
          <w:sz w:val="28"/>
          <w:szCs w:val="28"/>
        </w:rPr>
        <w:t>。</w:t>
      </w:r>
    </w:p>
    <w:p w:rsidR="00FE503C" w:rsidRPr="00A51D82" w:rsidRDefault="00FE503C" w:rsidP="000B367C">
      <w:pPr>
        <w:pStyle w:val="a3"/>
        <w:numPr>
          <w:ilvl w:val="0"/>
          <w:numId w:val="11"/>
        </w:numPr>
        <w:adjustRightInd w:val="0"/>
        <w:snapToGrid w:val="0"/>
        <w:spacing w:line="520" w:lineRule="exact"/>
        <w:ind w:leftChars="0" w:left="658" w:hanging="505"/>
        <w:jc w:val="both"/>
        <w:rPr>
          <w:rFonts w:ascii="Calibri" w:eastAsia="標楷體" w:hAnsi="Calibri" w:cs="Times New Roman"/>
          <w:sz w:val="28"/>
          <w:szCs w:val="28"/>
        </w:rPr>
      </w:pPr>
      <w:r w:rsidRPr="00A51D82">
        <w:rPr>
          <w:rFonts w:ascii="Calibri" w:eastAsia="標楷體" w:hAnsi="Calibri" w:cs="Times New Roman" w:hint="eastAsia"/>
          <w:sz w:val="28"/>
          <w:szCs w:val="28"/>
        </w:rPr>
        <w:t>節能教育推廣參訪活動：</w:t>
      </w:r>
      <w:r w:rsidR="00CC4142">
        <w:rPr>
          <w:rFonts w:ascii="Calibri" w:eastAsia="標楷體" w:hAnsi="Calibri" w:cs="Times New Roman" w:hint="eastAsia"/>
          <w:sz w:val="28"/>
          <w:szCs w:val="28"/>
        </w:rPr>
        <w:t>指辦理村里民參訪節約能源教育推廣場域活動；推</w:t>
      </w:r>
      <w:r w:rsidR="000B367C" w:rsidRPr="000B367C">
        <w:rPr>
          <w:rFonts w:ascii="Calibri" w:eastAsia="標楷體" w:hAnsi="Calibri" w:cs="Times New Roman" w:hint="eastAsia"/>
          <w:sz w:val="28"/>
          <w:szCs w:val="28"/>
        </w:rPr>
        <w:t>廣</w:t>
      </w:r>
      <w:r w:rsidR="00CC4142">
        <w:rPr>
          <w:rFonts w:ascii="Calibri" w:eastAsia="標楷體" w:hAnsi="Calibri" w:cs="Times New Roman" w:hint="eastAsia"/>
          <w:sz w:val="28"/>
          <w:szCs w:val="28"/>
        </w:rPr>
        <w:t>場</w:t>
      </w:r>
      <w:r w:rsidR="000B367C" w:rsidRPr="000B367C">
        <w:rPr>
          <w:rFonts w:ascii="Calibri" w:eastAsia="標楷體" w:hAnsi="Calibri" w:cs="Times New Roman" w:hint="eastAsia"/>
          <w:sz w:val="28"/>
          <w:szCs w:val="28"/>
        </w:rPr>
        <w:t>域如阿光節能尋寶圖所列之各節電場域</w:t>
      </w:r>
      <w:r w:rsidR="000B367C" w:rsidRPr="000B367C">
        <w:rPr>
          <w:rFonts w:ascii="Calibri" w:eastAsia="標楷體" w:hAnsi="Calibri" w:cs="Times New Roman" w:hint="eastAsia"/>
          <w:sz w:val="28"/>
          <w:szCs w:val="28"/>
        </w:rPr>
        <w:t>(https://www.energypark.org.tw/map/north.asp)</w:t>
      </w:r>
      <w:r w:rsidR="00A51D82" w:rsidRPr="00A51D82">
        <w:rPr>
          <w:rFonts w:ascii="Calibri" w:eastAsia="標楷體" w:hAnsi="Calibri" w:cs="Times New Roman" w:hint="eastAsia"/>
          <w:sz w:val="28"/>
          <w:szCs w:val="28"/>
        </w:rPr>
        <w:t>。</w:t>
      </w:r>
    </w:p>
    <w:p w:rsidR="00FE503C" w:rsidRPr="00A51D82" w:rsidRDefault="00FE503C"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三、評比對象：</w:t>
      </w:r>
      <w:r w:rsidR="000B367C" w:rsidRPr="000B367C">
        <w:rPr>
          <w:rFonts w:eastAsia="標楷體" w:hint="eastAsia"/>
          <w:sz w:val="28"/>
          <w:szCs w:val="28"/>
        </w:rPr>
        <w:t>以全國各村里為受評單位，其中村里行政區域依內政部戶政司戶役政資訊系統</w:t>
      </w:r>
      <w:r w:rsidR="006C7DE7">
        <w:rPr>
          <w:rFonts w:eastAsia="標楷體" w:hint="eastAsia"/>
          <w:sz w:val="28"/>
          <w:szCs w:val="28"/>
        </w:rPr>
        <w:t>中華民國</w:t>
      </w:r>
      <w:r w:rsidR="003E48FE">
        <w:rPr>
          <w:rFonts w:eastAsia="標楷體" w:hint="eastAsia"/>
          <w:sz w:val="28"/>
          <w:szCs w:val="28"/>
        </w:rPr>
        <w:t>一百零七</w:t>
      </w:r>
      <w:r w:rsidR="000B367C" w:rsidRPr="000B367C">
        <w:rPr>
          <w:rFonts w:eastAsia="標楷體" w:hint="eastAsia"/>
          <w:sz w:val="28"/>
          <w:szCs w:val="28"/>
        </w:rPr>
        <w:t>年</w:t>
      </w:r>
      <w:r w:rsidR="003E48FE">
        <w:rPr>
          <w:rFonts w:eastAsia="標楷體" w:hint="eastAsia"/>
          <w:sz w:val="28"/>
          <w:szCs w:val="28"/>
        </w:rPr>
        <w:t>五</w:t>
      </w:r>
      <w:r w:rsidR="000B367C" w:rsidRPr="000B367C">
        <w:rPr>
          <w:rFonts w:eastAsia="標楷體" w:hint="eastAsia"/>
          <w:sz w:val="28"/>
          <w:szCs w:val="28"/>
        </w:rPr>
        <w:t>月之資料劃分，另排除澎湖縣馬公市桶盤里、望安鄉東吉村、花嶼村、西坪村、東坪村，</w:t>
      </w:r>
      <w:r w:rsidR="00380694">
        <w:rPr>
          <w:rFonts w:eastAsia="標楷體" w:hint="eastAsia"/>
          <w:sz w:val="28"/>
          <w:szCs w:val="28"/>
        </w:rPr>
        <w:t>與</w:t>
      </w:r>
      <w:r w:rsidR="000B367C" w:rsidRPr="000B367C">
        <w:rPr>
          <w:rFonts w:eastAsia="標楷體" w:hint="eastAsia"/>
          <w:sz w:val="28"/>
          <w:szCs w:val="28"/>
        </w:rPr>
        <w:t>金門縣烏坵鄉大坵村及小坵村等</w:t>
      </w:r>
      <w:r w:rsidR="003E48FE">
        <w:rPr>
          <w:rFonts w:eastAsia="標楷體" w:hint="eastAsia"/>
          <w:sz w:val="28"/>
          <w:szCs w:val="28"/>
        </w:rPr>
        <w:t>七</w:t>
      </w:r>
      <w:r w:rsidR="006C7DE7">
        <w:rPr>
          <w:rFonts w:eastAsia="標楷體" w:hint="eastAsia"/>
          <w:sz w:val="28"/>
          <w:szCs w:val="28"/>
        </w:rPr>
        <w:t>個非屬台電</w:t>
      </w:r>
      <w:r w:rsidR="000B367C" w:rsidRPr="000B367C">
        <w:rPr>
          <w:rFonts w:eastAsia="標楷體" w:hint="eastAsia"/>
          <w:sz w:val="28"/>
          <w:szCs w:val="28"/>
        </w:rPr>
        <w:t>公司供電村里</w:t>
      </w:r>
      <w:r w:rsidRPr="00A51D82">
        <w:rPr>
          <w:rFonts w:eastAsia="標楷體" w:hint="eastAsia"/>
          <w:sz w:val="28"/>
          <w:szCs w:val="28"/>
        </w:rPr>
        <w:t>。</w:t>
      </w:r>
    </w:p>
    <w:p w:rsidR="00FE503C" w:rsidRPr="00A51D82" w:rsidRDefault="00FE503C"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四、評比期間：</w:t>
      </w:r>
      <w:r w:rsidRPr="00A51D82">
        <w:rPr>
          <w:rFonts w:ascii="標楷體" w:eastAsia="標楷體" w:hAnsi="標楷體" w:cs="Times New Roman" w:hint="eastAsia"/>
          <w:sz w:val="28"/>
          <w:szCs w:val="28"/>
        </w:rPr>
        <w:t>自</w:t>
      </w:r>
      <w:r w:rsidR="00380694">
        <w:rPr>
          <w:rFonts w:ascii="標楷體" w:eastAsia="標楷體" w:hAnsi="標楷體" w:cs="Times New Roman" w:hint="eastAsia"/>
          <w:sz w:val="28"/>
          <w:szCs w:val="28"/>
        </w:rPr>
        <w:t>中華民國</w:t>
      </w:r>
      <w:r w:rsidR="003E48FE">
        <w:rPr>
          <w:rFonts w:eastAsia="標楷體" w:hint="eastAsia"/>
          <w:sz w:val="28"/>
          <w:szCs w:val="28"/>
        </w:rPr>
        <w:t>一百零七</w:t>
      </w:r>
      <w:r w:rsidRPr="00A51D82">
        <w:rPr>
          <w:rFonts w:eastAsia="標楷體"/>
          <w:sz w:val="28"/>
          <w:szCs w:val="28"/>
        </w:rPr>
        <w:t>年</w:t>
      </w:r>
      <w:r w:rsidR="003E48FE">
        <w:rPr>
          <w:rFonts w:eastAsia="標楷體" w:hint="eastAsia"/>
          <w:sz w:val="28"/>
          <w:szCs w:val="28"/>
        </w:rPr>
        <w:t>六</w:t>
      </w:r>
      <w:r w:rsidRPr="00A51D82">
        <w:rPr>
          <w:rFonts w:eastAsia="標楷體"/>
          <w:sz w:val="28"/>
          <w:szCs w:val="28"/>
        </w:rPr>
        <w:t>月</w:t>
      </w:r>
      <w:r w:rsidR="003E48FE">
        <w:rPr>
          <w:rFonts w:eastAsia="標楷體" w:hint="eastAsia"/>
          <w:sz w:val="28"/>
          <w:szCs w:val="28"/>
        </w:rPr>
        <w:t>一</w:t>
      </w:r>
      <w:r w:rsidRPr="00A51D82">
        <w:rPr>
          <w:rFonts w:eastAsia="標楷體"/>
          <w:sz w:val="28"/>
          <w:szCs w:val="28"/>
        </w:rPr>
        <w:t>日至</w:t>
      </w:r>
      <w:r w:rsidR="003E48FE">
        <w:rPr>
          <w:rFonts w:eastAsia="標楷體" w:hint="eastAsia"/>
          <w:sz w:val="28"/>
          <w:szCs w:val="28"/>
        </w:rPr>
        <w:t>一百零七</w:t>
      </w:r>
      <w:r w:rsidRPr="00A51D82">
        <w:rPr>
          <w:rFonts w:eastAsia="標楷體"/>
          <w:sz w:val="28"/>
          <w:szCs w:val="28"/>
        </w:rPr>
        <w:t>年</w:t>
      </w:r>
      <w:r w:rsidR="003E48FE">
        <w:rPr>
          <w:rFonts w:eastAsia="標楷體" w:hint="eastAsia"/>
          <w:sz w:val="28"/>
          <w:szCs w:val="28"/>
        </w:rPr>
        <w:t>九</w:t>
      </w:r>
      <w:r w:rsidRPr="00A51D82">
        <w:rPr>
          <w:rFonts w:eastAsia="標楷體"/>
          <w:sz w:val="28"/>
          <w:szCs w:val="28"/>
        </w:rPr>
        <w:t>月</w:t>
      </w:r>
      <w:r w:rsidR="003E48FE">
        <w:rPr>
          <w:rFonts w:eastAsia="標楷體" w:hint="eastAsia"/>
          <w:sz w:val="28"/>
          <w:szCs w:val="28"/>
        </w:rPr>
        <w:t>三十</w:t>
      </w:r>
      <w:r w:rsidRPr="00A51D82">
        <w:rPr>
          <w:rFonts w:eastAsia="標楷體"/>
          <w:sz w:val="28"/>
          <w:szCs w:val="28"/>
        </w:rPr>
        <w:t>日止。</w:t>
      </w:r>
    </w:p>
    <w:p w:rsidR="00FE503C" w:rsidRPr="00A51D82" w:rsidRDefault="00FE503C"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五、評比範圍：</w:t>
      </w:r>
      <w:r w:rsidR="000B367C" w:rsidRPr="000B367C">
        <w:rPr>
          <w:rFonts w:eastAsia="標楷體" w:hint="eastAsia"/>
          <w:sz w:val="28"/>
          <w:szCs w:val="28"/>
        </w:rPr>
        <w:t>受評單位行政區域內之家庭用電</w:t>
      </w:r>
      <w:r w:rsidRPr="00A51D82">
        <w:rPr>
          <w:rFonts w:eastAsia="標楷體" w:hint="eastAsia"/>
          <w:sz w:val="28"/>
          <w:szCs w:val="28"/>
        </w:rPr>
        <w:t>。</w:t>
      </w:r>
    </w:p>
    <w:p w:rsidR="00211CB1" w:rsidRPr="00A51D82" w:rsidRDefault="00C26C51" w:rsidP="00A51D82">
      <w:pPr>
        <w:adjustRightInd w:val="0"/>
        <w:snapToGrid w:val="0"/>
        <w:spacing w:line="520" w:lineRule="exact"/>
        <w:jc w:val="both"/>
        <w:rPr>
          <w:rFonts w:eastAsia="標楷體"/>
          <w:sz w:val="28"/>
          <w:szCs w:val="28"/>
        </w:rPr>
      </w:pPr>
      <w:r w:rsidRPr="00A51D82">
        <w:rPr>
          <w:rFonts w:eastAsia="標楷體" w:hint="eastAsia"/>
          <w:sz w:val="28"/>
          <w:szCs w:val="28"/>
        </w:rPr>
        <w:t>六</w:t>
      </w:r>
      <w:r w:rsidR="00211CB1" w:rsidRPr="00A51D82">
        <w:rPr>
          <w:rFonts w:eastAsia="標楷體" w:hint="eastAsia"/>
          <w:sz w:val="28"/>
          <w:szCs w:val="28"/>
        </w:rPr>
        <w:t>、評比指標</w:t>
      </w:r>
      <w:r w:rsidR="00211CB1" w:rsidRPr="00A51D82">
        <w:rPr>
          <w:rFonts w:ascii="標楷體" w:eastAsia="標楷體" w:hAnsi="標楷體" w:cs="Times New Roman" w:hint="eastAsia"/>
          <w:sz w:val="28"/>
          <w:szCs w:val="28"/>
        </w:rPr>
        <w:t>:</w:t>
      </w:r>
    </w:p>
    <w:p w:rsidR="00211CB1" w:rsidRPr="00A51D82" w:rsidRDefault="008401D8" w:rsidP="008401D8">
      <w:pPr>
        <w:pStyle w:val="a3"/>
        <w:numPr>
          <w:ilvl w:val="0"/>
          <w:numId w:val="3"/>
        </w:numPr>
        <w:adjustRightInd w:val="0"/>
        <w:snapToGrid w:val="0"/>
        <w:spacing w:line="520" w:lineRule="exact"/>
        <w:ind w:leftChars="60" w:left="707" w:hangingChars="201" w:hanging="563"/>
        <w:jc w:val="both"/>
        <w:rPr>
          <w:rFonts w:eastAsia="標楷體"/>
          <w:sz w:val="28"/>
          <w:szCs w:val="28"/>
        </w:rPr>
      </w:pPr>
      <w:r w:rsidRPr="008401D8">
        <w:rPr>
          <w:rFonts w:eastAsia="標楷體" w:hint="eastAsia"/>
          <w:sz w:val="28"/>
          <w:szCs w:val="28"/>
        </w:rPr>
        <w:t>受評單位</w:t>
      </w:r>
      <w:r w:rsidRPr="008401D8">
        <w:rPr>
          <w:rFonts w:eastAsia="標楷體"/>
          <w:sz w:val="28"/>
          <w:szCs w:val="28"/>
        </w:rPr>
        <w:t>於</w:t>
      </w:r>
      <w:r w:rsidRPr="008401D8">
        <w:rPr>
          <w:rFonts w:eastAsia="標楷體" w:hint="eastAsia"/>
          <w:sz w:val="28"/>
          <w:szCs w:val="28"/>
        </w:rPr>
        <w:t>評比</w:t>
      </w:r>
      <w:r w:rsidRPr="008401D8">
        <w:rPr>
          <w:rFonts w:eastAsia="標楷體"/>
          <w:sz w:val="28"/>
          <w:szCs w:val="28"/>
        </w:rPr>
        <w:t>期間，</w:t>
      </w:r>
      <w:r w:rsidRPr="008401D8">
        <w:rPr>
          <w:rFonts w:eastAsia="標楷體" w:hint="eastAsia"/>
          <w:sz w:val="28"/>
          <w:szCs w:val="28"/>
        </w:rPr>
        <w:t>依評比範圍總體</w:t>
      </w:r>
      <w:r w:rsidRPr="008401D8">
        <w:rPr>
          <w:rFonts w:eastAsia="標楷體"/>
          <w:sz w:val="28"/>
          <w:szCs w:val="28"/>
        </w:rPr>
        <w:t>日均</w:t>
      </w:r>
      <w:r w:rsidRPr="008401D8">
        <w:rPr>
          <w:rFonts w:eastAsia="標楷體" w:hint="eastAsia"/>
          <w:sz w:val="28"/>
          <w:szCs w:val="28"/>
        </w:rPr>
        <w:t>用電較</w:t>
      </w:r>
      <w:r w:rsidR="00380694">
        <w:rPr>
          <w:rFonts w:ascii="標楷體" w:eastAsia="標楷體" w:hAnsi="標楷體" w:cs="Times New Roman" w:hint="eastAsia"/>
          <w:sz w:val="28"/>
          <w:szCs w:val="28"/>
        </w:rPr>
        <w:t>中華民國</w:t>
      </w:r>
      <w:r w:rsidR="003E48FE">
        <w:rPr>
          <w:rFonts w:eastAsia="標楷體" w:hint="eastAsia"/>
          <w:sz w:val="28"/>
          <w:szCs w:val="28"/>
        </w:rPr>
        <w:t>一百零六</w:t>
      </w:r>
      <w:r w:rsidRPr="008401D8">
        <w:rPr>
          <w:rFonts w:eastAsia="標楷體" w:hint="eastAsia"/>
          <w:sz w:val="28"/>
          <w:szCs w:val="28"/>
        </w:rPr>
        <w:t>年同期之</w:t>
      </w:r>
      <w:r w:rsidRPr="008401D8">
        <w:rPr>
          <w:rFonts w:eastAsia="標楷體"/>
          <w:sz w:val="28"/>
          <w:szCs w:val="28"/>
        </w:rPr>
        <w:t>節電率</w:t>
      </w:r>
      <w:r w:rsidRPr="008401D8">
        <w:rPr>
          <w:rFonts w:eastAsia="標楷體" w:hint="eastAsia"/>
          <w:sz w:val="28"/>
          <w:szCs w:val="28"/>
        </w:rPr>
        <w:t>為評比指標。其中，用電資料依各用戶</w:t>
      </w:r>
      <w:r w:rsidR="003E48FE">
        <w:rPr>
          <w:rFonts w:eastAsia="標楷體" w:hint="eastAsia"/>
          <w:sz w:val="28"/>
          <w:szCs w:val="28"/>
        </w:rPr>
        <w:t>一百零七</w:t>
      </w:r>
      <w:r w:rsidRPr="008401D8">
        <w:rPr>
          <w:rFonts w:eastAsia="標楷體"/>
          <w:sz w:val="28"/>
          <w:szCs w:val="28"/>
        </w:rPr>
        <w:t>年</w:t>
      </w:r>
      <w:r w:rsidR="003E48FE">
        <w:rPr>
          <w:rFonts w:eastAsia="標楷體" w:hint="eastAsia"/>
          <w:sz w:val="28"/>
          <w:szCs w:val="28"/>
        </w:rPr>
        <w:t>七</w:t>
      </w:r>
      <w:r w:rsidRPr="008401D8">
        <w:rPr>
          <w:rFonts w:eastAsia="標楷體"/>
          <w:sz w:val="28"/>
          <w:szCs w:val="28"/>
        </w:rPr>
        <w:t>月至</w:t>
      </w:r>
      <w:r w:rsidR="003E48FE">
        <w:rPr>
          <w:rFonts w:eastAsia="標楷體" w:hint="eastAsia"/>
          <w:sz w:val="28"/>
          <w:szCs w:val="28"/>
        </w:rPr>
        <w:t>十</w:t>
      </w:r>
      <w:r w:rsidRPr="008401D8">
        <w:rPr>
          <w:rFonts w:eastAsia="標楷體"/>
          <w:sz w:val="28"/>
          <w:szCs w:val="28"/>
        </w:rPr>
        <w:t>月</w:t>
      </w:r>
      <w:r w:rsidRPr="008401D8">
        <w:rPr>
          <w:rFonts w:eastAsia="標楷體" w:hint="eastAsia"/>
          <w:sz w:val="28"/>
          <w:szCs w:val="28"/>
        </w:rPr>
        <w:t>電費帳單之用電資料計算，節電率計算至小數點後第二位四捨五入至第一位</w:t>
      </w:r>
      <w:r w:rsidRPr="008401D8">
        <w:rPr>
          <w:rFonts w:eastAsia="標楷體"/>
          <w:sz w:val="28"/>
          <w:szCs w:val="28"/>
        </w:rPr>
        <w:t>。</w:t>
      </w:r>
    </w:p>
    <w:p w:rsidR="00345E27" w:rsidRPr="00A51D82" w:rsidRDefault="00345E27" w:rsidP="00A51D82">
      <w:pPr>
        <w:pStyle w:val="a3"/>
        <w:numPr>
          <w:ilvl w:val="0"/>
          <w:numId w:val="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rPr>
        <w:lastRenderedPageBreak/>
        <w:t>受評單位於評比期間之評比範圍</w:t>
      </w:r>
      <w:r w:rsidRPr="00A51D82">
        <w:rPr>
          <w:rFonts w:eastAsia="標楷體"/>
          <w:sz w:val="28"/>
        </w:rPr>
        <w:t>用電遇有重大事故，如不可抗力之颱風、地震等，致</w:t>
      </w:r>
      <w:r w:rsidRPr="00A51D82">
        <w:rPr>
          <w:rFonts w:eastAsia="標楷體" w:hint="eastAsia"/>
          <w:sz w:val="28"/>
        </w:rPr>
        <w:t>有</w:t>
      </w:r>
      <w:r w:rsidRPr="00A51D82">
        <w:rPr>
          <w:rFonts w:eastAsia="標楷體"/>
          <w:sz w:val="28"/>
        </w:rPr>
        <w:t>用電顯著異常之情事，將予</w:t>
      </w:r>
      <w:r w:rsidRPr="00A51D82">
        <w:rPr>
          <w:rFonts w:eastAsia="標楷體" w:hint="eastAsia"/>
          <w:sz w:val="28"/>
        </w:rPr>
        <w:t>以</w:t>
      </w:r>
      <w:r w:rsidRPr="00A51D82">
        <w:rPr>
          <w:rFonts w:eastAsia="標楷體"/>
          <w:sz w:val="28"/>
        </w:rPr>
        <w:t>排除</w:t>
      </w:r>
      <w:r w:rsidRPr="00A51D82">
        <w:rPr>
          <w:rFonts w:eastAsia="標楷體" w:hint="eastAsia"/>
          <w:sz w:val="28"/>
        </w:rPr>
        <w:t>計算</w:t>
      </w:r>
      <w:r w:rsidRPr="00A51D82">
        <w:rPr>
          <w:rFonts w:eastAsia="標楷體"/>
          <w:sz w:val="28"/>
        </w:rPr>
        <w:t>。</w:t>
      </w:r>
    </w:p>
    <w:p w:rsidR="00D26971" w:rsidRPr="008401D8" w:rsidRDefault="006C7DE7" w:rsidP="000B367C">
      <w:pPr>
        <w:pStyle w:val="a3"/>
        <w:numPr>
          <w:ilvl w:val="0"/>
          <w:numId w:val="3"/>
        </w:numPr>
        <w:adjustRightInd w:val="0"/>
        <w:snapToGrid w:val="0"/>
        <w:spacing w:line="520" w:lineRule="exact"/>
        <w:ind w:leftChars="60" w:left="707" w:hangingChars="201" w:hanging="563"/>
        <w:jc w:val="both"/>
        <w:rPr>
          <w:rFonts w:eastAsia="標楷體"/>
          <w:sz w:val="28"/>
        </w:rPr>
      </w:pPr>
      <w:r>
        <w:rPr>
          <w:rFonts w:eastAsia="標楷體" w:hint="eastAsia"/>
          <w:sz w:val="28"/>
        </w:rPr>
        <w:t>台電</w:t>
      </w:r>
      <w:r w:rsidR="003E48FE">
        <w:rPr>
          <w:rFonts w:eastAsia="標楷體" w:hint="eastAsia"/>
          <w:sz w:val="28"/>
        </w:rPr>
        <w:t>公司</w:t>
      </w:r>
      <w:r w:rsidR="000B367C" w:rsidRPr="000B367C">
        <w:rPr>
          <w:rFonts w:eastAsia="標楷體" w:hint="eastAsia"/>
          <w:sz w:val="28"/>
        </w:rPr>
        <w:t>於每月</w:t>
      </w:r>
      <w:r w:rsidR="003E48FE">
        <w:rPr>
          <w:rFonts w:eastAsia="標楷體" w:hint="eastAsia"/>
          <w:sz w:val="28"/>
        </w:rPr>
        <w:t>十</w:t>
      </w:r>
      <w:r w:rsidR="000B367C" w:rsidRPr="000B367C">
        <w:rPr>
          <w:rFonts w:eastAsia="標楷體" w:hint="eastAsia"/>
          <w:sz w:val="28"/>
        </w:rPr>
        <w:t>日前，將各受評單位行政區域內之前一月家庭總用電與日均用電量資料公告於該公司官方網</w:t>
      </w:r>
      <w:r w:rsidR="008401D8" w:rsidRPr="008401D8">
        <w:rPr>
          <w:rFonts w:eastAsia="標楷體" w:hint="eastAsia"/>
          <w:sz w:val="28"/>
        </w:rPr>
        <w:t>站</w:t>
      </w:r>
      <w:r w:rsidR="008401D8" w:rsidRPr="008401D8">
        <w:rPr>
          <w:rFonts w:eastAsia="標楷體" w:hint="eastAsia"/>
          <w:sz w:val="28"/>
        </w:rPr>
        <w:t>(</w:t>
      </w:r>
      <w:hyperlink r:id="rId7" w:history="1">
        <w:r w:rsidR="008401D8" w:rsidRPr="008401D8">
          <w:rPr>
            <w:rFonts w:hint="eastAsia"/>
            <w:sz w:val="28"/>
          </w:rPr>
          <w:t>http://www.taipower.com.tw/</w:t>
        </w:r>
      </w:hyperlink>
      <w:r w:rsidR="008401D8" w:rsidRPr="008401D8">
        <w:rPr>
          <w:rFonts w:eastAsia="標楷體" w:hint="eastAsia"/>
          <w:sz w:val="28"/>
        </w:rPr>
        <w:t>)</w:t>
      </w:r>
      <w:r w:rsidR="008401D8" w:rsidRPr="008401D8">
        <w:rPr>
          <w:rFonts w:eastAsia="標楷體" w:hint="eastAsia"/>
          <w:sz w:val="28"/>
        </w:rPr>
        <w:t>，並提供累積計算功能。</w:t>
      </w:r>
    </w:p>
    <w:p w:rsidR="001F7303" w:rsidRPr="00A51D82" w:rsidRDefault="001F7303" w:rsidP="00A51D82">
      <w:pPr>
        <w:pStyle w:val="a3"/>
        <w:numPr>
          <w:ilvl w:val="0"/>
          <w:numId w:val="3"/>
        </w:numPr>
        <w:adjustRightInd w:val="0"/>
        <w:snapToGrid w:val="0"/>
        <w:spacing w:line="520" w:lineRule="exact"/>
        <w:ind w:leftChars="60" w:left="707" w:hangingChars="201" w:hanging="563"/>
        <w:jc w:val="both"/>
        <w:rPr>
          <w:rFonts w:eastAsia="標楷體"/>
          <w:sz w:val="28"/>
          <w:szCs w:val="28"/>
        </w:rPr>
      </w:pPr>
      <w:r w:rsidRPr="00A51D82">
        <w:rPr>
          <w:rFonts w:ascii="Times New Roman" w:eastAsia="標楷體" w:hAnsi="Times New Roman" w:cs="Times New Roman" w:hint="eastAsia"/>
          <w:sz w:val="28"/>
          <w:szCs w:val="28"/>
        </w:rPr>
        <w:t>評比情形由本部於核算評比期間各評比單位之評比指標後，</w:t>
      </w:r>
      <w:r w:rsidRPr="00A51D82">
        <w:rPr>
          <w:rFonts w:eastAsia="標楷體" w:hint="eastAsia"/>
          <w:sz w:val="28"/>
          <w:szCs w:val="28"/>
        </w:rPr>
        <w:t>公告於節電</w:t>
      </w:r>
      <w:r w:rsidRPr="00A51D82">
        <w:rPr>
          <w:rFonts w:eastAsia="標楷體"/>
          <w:sz w:val="28"/>
          <w:szCs w:val="28"/>
        </w:rPr>
        <w:t>主題網站</w:t>
      </w:r>
      <w:r w:rsidRPr="00A51D82">
        <w:rPr>
          <w:rFonts w:eastAsia="標楷體"/>
          <w:sz w:val="28"/>
          <w:szCs w:val="28"/>
        </w:rPr>
        <w:t>(</w:t>
      </w:r>
      <w:r w:rsidRPr="00A51D82">
        <w:rPr>
          <w:rFonts w:eastAsia="標楷體"/>
          <w:sz w:val="28"/>
          <w:szCs w:val="28"/>
        </w:rPr>
        <w:t>自己的電自己省</w:t>
      </w:r>
      <w:hyperlink r:id="rId8" w:history="1">
        <w:r w:rsidRPr="00A51D82">
          <w:rPr>
            <w:rStyle w:val="a8"/>
            <w:rFonts w:eastAsia="標楷體"/>
            <w:color w:val="auto"/>
            <w:sz w:val="28"/>
            <w:szCs w:val="28"/>
          </w:rPr>
          <w:t>http://energy-smartcity.energypark.org.tw/)</w:t>
        </w:r>
      </w:hyperlink>
      <w:r w:rsidRPr="00A51D82">
        <w:rPr>
          <w:rFonts w:eastAsia="標楷體" w:hint="eastAsia"/>
          <w:sz w:val="28"/>
          <w:szCs w:val="28"/>
        </w:rPr>
        <w:t>。</w:t>
      </w:r>
    </w:p>
    <w:p w:rsidR="00E62CA0" w:rsidRPr="00A51D82" w:rsidRDefault="00D26971" w:rsidP="00A51D82">
      <w:pPr>
        <w:adjustRightInd w:val="0"/>
        <w:snapToGrid w:val="0"/>
        <w:spacing w:line="520" w:lineRule="exact"/>
        <w:ind w:left="532" w:hangingChars="190" w:hanging="532"/>
        <w:jc w:val="both"/>
        <w:rPr>
          <w:rFonts w:ascii="標楷體" w:eastAsia="標楷體" w:hAnsi="標楷體"/>
          <w:sz w:val="28"/>
          <w:szCs w:val="28"/>
        </w:rPr>
      </w:pPr>
      <w:r w:rsidRPr="00A51D82">
        <w:rPr>
          <w:rFonts w:eastAsia="標楷體" w:hint="eastAsia"/>
          <w:sz w:val="28"/>
          <w:szCs w:val="28"/>
        </w:rPr>
        <w:t>七</w:t>
      </w:r>
      <w:r w:rsidR="004928F9" w:rsidRPr="00A51D82">
        <w:rPr>
          <w:rFonts w:eastAsia="標楷體" w:hint="eastAsia"/>
          <w:sz w:val="28"/>
          <w:szCs w:val="28"/>
        </w:rPr>
        <w:t>、</w:t>
      </w:r>
      <w:r w:rsidR="008278A4" w:rsidRPr="00A51D82">
        <w:rPr>
          <w:rFonts w:eastAsia="標楷體" w:hint="eastAsia"/>
          <w:sz w:val="28"/>
          <w:szCs w:val="28"/>
        </w:rPr>
        <w:t>獎勵機制</w:t>
      </w:r>
      <w:r w:rsidR="00810CDB" w:rsidRPr="00A51D82">
        <w:rPr>
          <w:rFonts w:ascii="標楷體" w:eastAsia="標楷體" w:hAnsi="標楷體" w:hint="eastAsia"/>
          <w:sz w:val="28"/>
          <w:szCs w:val="28"/>
        </w:rPr>
        <w:t>:</w:t>
      </w:r>
    </w:p>
    <w:p w:rsidR="008278A4" w:rsidRPr="00A51D82" w:rsidRDefault="00D26971"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szCs w:val="28"/>
        </w:rPr>
        <w:t>評比期間</w:t>
      </w:r>
      <w:r w:rsidR="008278A4" w:rsidRPr="00A51D82">
        <w:rPr>
          <w:rFonts w:eastAsia="標楷體"/>
          <w:sz w:val="28"/>
          <w:szCs w:val="28"/>
        </w:rPr>
        <w:t>屆滿後</w:t>
      </w:r>
      <w:r w:rsidR="008278A4" w:rsidRPr="00A51D82">
        <w:rPr>
          <w:rFonts w:eastAsia="標楷體" w:hint="eastAsia"/>
          <w:sz w:val="28"/>
          <w:szCs w:val="28"/>
        </w:rPr>
        <w:t>，</w:t>
      </w:r>
      <w:r w:rsidRPr="00A51D82">
        <w:rPr>
          <w:rFonts w:eastAsia="標楷體" w:hint="eastAsia"/>
          <w:sz w:val="28"/>
          <w:szCs w:val="28"/>
        </w:rPr>
        <w:t>評比指標</w:t>
      </w:r>
      <w:r w:rsidR="008278A4" w:rsidRPr="00A51D82">
        <w:rPr>
          <w:rFonts w:eastAsia="標楷體"/>
          <w:sz w:val="28"/>
          <w:szCs w:val="28"/>
        </w:rPr>
        <w:t>達</w:t>
      </w:r>
      <w:r w:rsidR="006C7DE7">
        <w:rPr>
          <w:rFonts w:eastAsia="標楷體" w:hint="eastAsia"/>
          <w:sz w:val="28"/>
          <w:szCs w:val="28"/>
        </w:rPr>
        <w:t>百分之一</w:t>
      </w:r>
      <w:r w:rsidR="008278A4" w:rsidRPr="00A51D82">
        <w:rPr>
          <w:rFonts w:eastAsia="標楷體"/>
          <w:sz w:val="28"/>
          <w:szCs w:val="28"/>
        </w:rPr>
        <w:t>(</w:t>
      </w:r>
      <w:r w:rsidR="008278A4" w:rsidRPr="00A51D82">
        <w:rPr>
          <w:rFonts w:eastAsia="標楷體"/>
          <w:sz w:val="28"/>
          <w:szCs w:val="28"/>
        </w:rPr>
        <w:t>含</w:t>
      </w:r>
      <w:r w:rsidR="008278A4" w:rsidRPr="00A51D82">
        <w:rPr>
          <w:rFonts w:eastAsia="標楷體"/>
          <w:sz w:val="28"/>
          <w:szCs w:val="28"/>
        </w:rPr>
        <w:t>)</w:t>
      </w:r>
      <w:r w:rsidR="008278A4" w:rsidRPr="00A51D82">
        <w:rPr>
          <w:rFonts w:eastAsia="標楷體"/>
          <w:sz w:val="28"/>
          <w:szCs w:val="28"/>
        </w:rPr>
        <w:t>以上</w:t>
      </w:r>
      <w:r w:rsidR="008278A4" w:rsidRPr="00A51D82">
        <w:rPr>
          <w:rFonts w:eastAsia="標楷體" w:hint="eastAsia"/>
          <w:sz w:val="28"/>
          <w:szCs w:val="28"/>
        </w:rPr>
        <w:t>之</w:t>
      </w:r>
      <w:r w:rsidRPr="00A51D82">
        <w:rPr>
          <w:rFonts w:eastAsia="標楷體" w:hint="eastAsia"/>
          <w:sz w:val="28"/>
          <w:szCs w:val="28"/>
        </w:rPr>
        <w:t>受評</w:t>
      </w:r>
      <w:r w:rsidR="004928F9" w:rsidRPr="00A51D82">
        <w:rPr>
          <w:rFonts w:eastAsia="標楷體" w:hint="eastAsia"/>
          <w:sz w:val="28"/>
          <w:szCs w:val="28"/>
        </w:rPr>
        <w:t>單位</w:t>
      </w:r>
      <w:r w:rsidR="008278A4" w:rsidRPr="00A51D82">
        <w:rPr>
          <w:rFonts w:eastAsia="標楷體"/>
          <w:sz w:val="28"/>
          <w:szCs w:val="28"/>
        </w:rPr>
        <w:t>，由本部提供獎勵金以鼓勵村里民共享節電成果</w:t>
      </w:r>
      <w:r w:rsidR="008278A4" w:rsidRPr="00A51D82">
        <w:rPr>
          <w:rFonts w:eastAsia="標楷體" w:hint="eastAsia"/>
          <w:sz w:val="28"/>
          <w:szCs w:val="28"/>
        </w:rPr>
        <w:t>，</w:t>
      </w:r>
      <w:r w:rsidR="008278A4" w:rsidRPr="00A51D82">
        <w:rPr>
          <w:rFonts w:eastAsia="標楷體"/>
          <w:sz w:val="28"/>
          <w:szCs w:val="28"/>
        </w:rPr>
        <w:t>獎勵方式如下：</w:t>
      </w:r>
    </w:p>
    <w:p w:rsidR="008278A4" w:rsidRPr="00A51D82" w:rsidRDefault="00D26FCD" w:rsidP="00A51D82">
      <w:pPr>
        <w:pStyle w:val="a3"/>
        <w:numPr>
          <w:ilvl w:val="0"/>
          <w:numId w:val="14"/>
        </w:numPr>
        <w:adjustRightInd w:val="0"/>
        <w:snapToGrid w:val="0"/>
        <w:spacing w:beforeLines="50" w:before="180" w:line="520" w:lineRule="exact"/>
        <w:ind w:leftChars="0" w:left="993" w:hanging="321"/>
        <w:jc w:val="both"/>
        <w:rPr>
          <w:rFonts w:eastAsia="標楷體"/>
          <w:sz w:val="28"/>
        </w:rPr>
      </w:pPr>
      <w:r w:rsidRPr="00A51D82">
        <w:rPr>
          <w:rFonts w:eastAsia="標楷體"/>
          <w:sz w:val="28"/>
        </w:rPr>
        <w:t>節電村里金獎：</w:t>
      </w:r>
      <w:r w:rsidRPr="00A51D82">
        <w:rPr>
          <w:rFonts w:eastAsia="標楷體" w:hint="eastAsia"/>
          <w:sz w:val="28"/>
        </w:rPr>
        <w:t>評比指標</w:t>
      </w:r>
      <w:r w:rsidR="008278A4" w:rsidRPr="00A51D82">
        <w:rPr>
          <w:rFonts w:eastAsia="標楷體"/>
          <w:sz w:val="28"/>
        </w:rPr>
        <w:t>達</w:t>
      </w:r>
      <w:r w:rsidR="006C7DE7">
        <w:rPr>
          <w:rFonts w:eastAsia="標楷體" w:hint="eastAsia"/>
          <w:sz w:val="28"/>
          <w:szCs w:val="28"/>
        </w:rPr>
        <w:t>百分之五</w:t>
      </w:r>
      <w:r w:rsidR="008278A4" w:rsidRPr="00A51D82">
        <w:rPr>
          <w:rFonts w:eastAsia="標楷體"/>
          <w:sz w:val="28"/>
        </w:rPr>
        <w:t>(</w:t>
      </w:r>
      <w:r w:rsidR="008278A4" w:rsidRPr="00A51D82">
        <w:rPr>
          <w:rFonts w:eastAsia="標楷體"/>
          <w:sz w:val="28"/>
        </w:rPr>
        <w:t>含</w:t>
      </w:r>
      <w:r w:rsidR="008278A4" w:rsidRPr="00A51D82">
        <w:rPr>
          <w:rFonts w:eastAsia="標楷體"/>
          <w:sz w:val="28"/>
        </w:rPr>
        <w:t>)</w:t>
      </w:r>
      <w:r w:rsidR="0051248A" w:rsidRPr="00A51D82">
        <w:rPr>
          <w:rFonts w:eastAsia="標楷體"/>
          <w:sz w:val="28"/>
        </w:rPr>
        <w:t>以上</w:t>
      </w:r>
      <w:r w:rsidR="0051248A" w:rsidRPr="00A51D82">
        <w:rPr>
          <w:rFonts w:eastAsia="標楷體" w:hint="eastAsia"/>
          <w:sz w:val="28"/>
        </w:rPr>
        <w:t>者</w:t>
      </w:r>
      <w:r w:rsidR="008278A4" w:rsidRPr="00A51D82">
        <w:rPr>
          <w:rFonts w:eastAsia="標楷體" w:hint="eastAsia"/>
          <w:sz w:val="28"/>
        </w:rPr>
        <w:t>，</w:t>
      </w:r>
      <w:r w:rsidR="00895DA1" w:rsidRPr="00A51D82">
        <w:rPr>
          <w:rFonts w:eastAsia="標楷體" w:hint="eastAsia"/>
          <w:sz w:val="28"/>
        </w:rPr>
        <w:t>最高提供</w:t>
      </w:r>
      <w:r w:rsidR="008278A4" w:rsidRPr="00A51D82">
        <w:rPr>
          <w:rFonts w:eastAsia="標楷體" w:hint="eastAsia"/>
          <w:sz w:val="28"/>
        </w:rPr>
        <w:t>新臺幣</w:t>
      </w:r>
      <w:r w:rsidR="006C7DE7">
        <w:rPr>
          <w:rFonts w:eastAsia="標楷體" w:hint="eastAsia"/>
          <w:sz w:val="28"/>
        </w:rPr>
        <w:t>十</w:t>
      </w:r>
      <w:r w:rsidR="008278A4" w:rsidRPr="00A51D82">
        <w:rPr>
          <w:rFonts w:eastAsia="標楷體"/>
          <w:sz w:val="28"/>
        </w:rPr>
        <w:t>萬元</w:t>
      </w:r>
      <w:r w:rsidR="00895DA1" w:rsidRPr="00A51D82">
        <w:rPr>
          <w:rFonts w:eastAsia="標楷體" w:hint="eastAsia"/>
          <w:sz w:val="28"/>
        </w:rPr>
        <w:t>獎勵金</w:t>
      </w:r>
      <w:r w:rsidR="008278A4" w:rsidRPr="00A51D82">
        <w:rPr>
          <w:rFonts w:eastAsia="標楷體"/>
          <w:sz w:val="28"/>
        </w:rPr>
        <w:t>。</w:t>
      </w:r>
    </w:p>
    <w:p w:rsidR="008278A4" w:rsidRPr="00A51D82" w:rsidRDefault="008278A4" w:rsidP="00A51D82">
      <w:pPr>
        <w:pStyle w:val="a3"/>
        <w:numPr>
          <w:ilvl w:val="0"/>
          <w:numId w:val="14"/>
        </w:numPr>
        <w:adjustRightInd w:val="0"/>
        <w:snapToGrid w:val="0"/>
        <w:spacing w:beforeLines="50" w:before="180" w:line="520" w:lineRule="exact"/>
        <w:ind w:leftChars="0" w:left="993" w:hanging="321"/>
        <w:jc w:val="both"/>
        <w:rPr>
          <w:rFonts w:eastAsia="標楷體"/>
          <w:sz w:val="28"/>
        </w:rPr>
      </w:pPr>
      <w:r w:rsidRPr="00A51D82">
        <w:rPr>
          <w:rFonts w:eastAsia="標楷體"/>
          <w:sz w:val="28"/>
        </w:rPr>
        <w:t>節電村里銀獎：</w:t>
      </w:r>
      <w:r w:rsidR="0051248A" w:rsidRPr="00A51D82">
        <w:rPr>
          <w:rFonts w:eastAsia="標楷體" w:hint="eastAsia"/>
          <w:sz w:val="28"/>
        </w:rPr>
        <w:t>評比指標</w:t>
      </w:r>
      <w:r w:rsidRPr="00A51D82">
        <w:rPr>
          <w:rFonts w:eastAsia="標楷體"/>
          <w:sz w:val="28"/>
        </w:rPr>
        <w:t>達</w:t>
      </w:r>
      <w:r w:rsidR="006C7DE7">
        <w:rPr>
          <w:rFonts w:eastAsia="標楷體" w:hint="eastAsia"/>
          <w:sz w:val="28"/>
          <w:szCs w:val="28"/>
        </w:rPr>
        <w:t>百分之三</w:t>
      </w:r>
      <w:r w:rsidRPr="00A51D82">
        <w:rPr>
          <w:rFonts w:eastAsia="標楷體"/>
          <w:sz w:val="28"/>
        </w:rPr>
        <w:t>(</w:t>
      </w:r>
      <w:r w:rsidRPr="00A51D82">
        <w:rPr>
          <w:rFonts w:eastAsia="標楷體"/>
          <w:sz w:val="28"/>
        </w:rPr>
        <w:t>含</w:t>
      </w:r>
      <w:r w:rsidRPr="00A51D82">
        <w:rPr>
          <w:rFonts w:eastAsia="標楷體"/>
          <w:sz w:val="28"/>
        </w:rPr>
        <w:t>)</w:t>
      </w:r>
      <w:r w:rsidRPr="00A51D82">
        <w:rPr>
          <w:rFonts w:eastAsia="標楷體"/>
          <w:sz w:val="28"/>
        </w:rPr>
        <w:t>以上，不及</w:t>
      </w:r>
      <w:r w:rsidR="006C7DE7">
        <w:rPr>
          <w:rFonts w:eastAsia="標楷體" w:hint="eastAsia"/>
          <w:sz w:val="28"/>
          <w:szCs w:val="28"/>
        </w:rPr>
        <w:t>百分之五</w:t>
      </w:r>
      <w:r w:rsidR="0051248A" w:rsidRPr="00A51D82">
        <w:rPr>
          <w:rFonts w:eastAsia="標楷體" w:hint="eastAsia"/>
          <w:sz w:val="28"/>
        </w:rPr>
        <w:t>者</w:t>
      </w:r>
      <w:r w:rsidRPr="00A51D82">
        <w:rPr>
          <w:rFonts w:eastAsia="標楷體" w:hint="eastAsia"/>
          <w:sz w:val="28"/>
        </w:rPr>
        <w:t>，</w:t>
      </w:r>
      <w:r w:rsidR="00895DA1" w:rsidRPr="00A51D82">
        <w:rPr>
          <w:rFonts w:eastAsia="標楷體" w:hint="eastAsia"/>
          <w:sz w:val="28"/>
        </w:rPr>
        <w:t>最高提供新臺幣</w:t>
      </w:r>
      <w:r w:rsidR="006C7DE7">
        <w:rPr>
          <w:rFonts w:eastAsia="標楷體" w:hint="eastAsia"/>
          <w:sz w:val="28"/>
        </w:rPr>
        <w:t>五</w:t>
      </w:r>
      <w:r w:rsidR="00895DA1" w:rsidRPr="00A51D82">
        <w:rPr>
          <w:rFonts w:eastAsia="標楷體"/>
          <w:sz w:val="28"/>
        </w:rPr>
        <w:t>萬元</w:t>
      </w:r>
      <w:r w:rsidR="00895DA1" w:rsidRPr="00A51D82">
        <w:rPr>
          <w:rFonts w:eastAsia="標楷體" w:hint="eastAsia"/>
          <w:sz w:val="28"/>
        </w:rPr>
        <w:t>獎勵金</w:t>
      </w:r>
      <w:r w:rsidR="00895DA1" w:rsidRPr="00A51D82">
        <w:rPr>
          <w:rFonts w:eastAsia="標楷體"/>
          <w:sz w:val="28"/>
        </w:rPr>
        <w:t>。</w:t>
      </w:r>
    </w:p>
    <w:p w:rsidR="008278A4" w:rsidRPr="00A51D82" w:rsidRDefault="008278A4" w:rsidP="00A51D82">
      <w:pPr>
        <w:pStyle w:val="a3"/>
        <w:numPr>
          <w:ilvl w:val="0"/>
          <w:numId w:val="14"/>
        </w:numPr>
        <w:adjustRightInd w:val="0"/>
        <w:snapToGrid w:val="0"/>
        <w:spacing w:beforeLines="50" w:before="180" w:line="520" w:lineRule="exact"/>
        <w:ind w:leftChars="0" w:left="993" w:hanging="321"/>
        <w:jc w:val="both"/>
        <w:rPr>
          <w:rFonts w:eastAsia="標楷體"/>
          <w:sz w:val="28"/>
          <w:szCs w:val="28"/>
        </w:rPr>
      </w:pPr>
      <w:r w:rsidRPr="00A51D82">
        <w:rPr>
          <w:rFonts w:eastAsia="標楷體"/>
          <w:sz w:val="28"/>
        </w:rPr>
        <w:t>節電村里</w:t>
      </w:r>
      <w:r w:rsidRPr="00A51D82">
        <w:rPr>
          <w:rFonts w:eastAsia="標楷體" w:hint="eastAsia"/>
          <w:sz w:val="28"/>
        </w:rPr>
        <w:t>銅</w:t>
      </w:r>
      <w:r w:rsidRPr="00A51D82">
        <w:rPr>
          <w:rFonts w:eastAsia="標楷體"/>
          <w:sz w:val="28"/>
        </w:rPr>
        <w:t>獎：</w:t>
      </w:r>
      <w:r w:rsidR="0051248A" w:rsidRPr="00A51D82">
        <w:rPr>
          <w:rFonts w:eastAsia="標楷體" w:hint="eastAsia"/>
          <w:sz w:val="28"/>
        </w:rPr>
        <w:t>評比指標</w:t>
      </w:r>
      <w:r w:rsidRPr="00A51D82">
        <w:rPr>
          <w:rFonts w:eastAsia="標楷體"/>
          <w:sz w:val="28"/>
        </w:rPr>
        <w:t>達</w:t>
      </w:r>
      <w:r w:rsidR="006C7DE7">
        <w:rPr>
          <w:rFonts w:eastAsia="標楷體" w:hint="eastAsia"/>
          <w:sz w:val="28"/>
          <w:szCs w:val="28"/>
        </w:rPr>
        <w:t>百分之一</w:t>
      </w:r>
      <w:r w:rsidRPr="00A51D82">
        <w:rPr>
          <w:rFonts w:eastAsia="標楷體"/>
          <w:sz w:val="28"/>
        </w:rPr>
        <w:t>(</w:t>
      </w:r>
      <w:r w:rsidRPr="00A51D82">
        <w:rPr>
          <w:rFonts w:eastAsia="標楷體"/>
          <w:sz w:val="28"/>
        </w:rPr>
        <w:t>含</w:t>
      </w:r>
      <w:r w:rsidRPr="00A51D82">
        <w:rPr>
          <w:rFonts w:eastAsia="標楷體"/>
          <w:sz w:val="28"/>
        </w:rPr>
        <w:t>)</w:t>
      </w:r>
      <w:r w:rsidRPr="00A51D82">
        <w:rPr>
          <w:rFonts w:eastAsia="標楷體"/>
          <w:sz w:val="28"/>
        </w:rPr>
        <w:t>以上，不及</w:t>
      </w:r>
      <w:r w:rsidR="006C7DE7">
        <w:rPr>
          <w:rFonts w:eastAsia="標楷體" w:hint="eastAsia"/>
          <w:sz w:val="28"/>
          <w:szCs w:val="28"/>
        </w:rPr>
        <w:t>百分之三</w:t>
      </w:r>
      <w:r w:rsidR="0051248A" w:rsidRPr="00A51D82">
        <w:rPr>
          <w:rFonts w:eastAsia="標楷體" w:hint="eastAsia"/>
          <w:sz w:val="28"/>
        </w:rPr>
        <w:t>者</w:t>
      </w:r>
      <w:r w:rsidRPr="00A51D82">
        <w:rPr>
          <w:rFonts w:eastAsia="標楷體" w:hint="eastAsia"/>
          <w:sz w:val="28"/>
        </w:rPr>
        <w:t>，</w:t>
      </w:r>
      <w:r w:rsidR="00895DA1" w:rsidRPr="00A51D82">
        <w:rPr>
          <w:rFonts w:eastAsia="標楷體" w:hint="eastAsia"/>
          <w:sz w:val="28"/>
        </w:rPr>
        <w:t>最高提供新臺幣</w:t>
      </w:r>
      <w:r w:rsidR="006C7DE7">
        <w:rPr>
          <w:rFonts w:eastAsia="標楷體" w:hint="eastAsia"/>
          <w:sz w:val="28"/>
        </w:rPr>
        <w:t>三</w:t>
      </w:r>
      <w:r w:rsidR="00895DA1" w:rsidRPr="00A51D82">
        <w:rPr>
          <w:rFonts w:eastAsia="標楷體"/>
          <w:sz w:val="28"/>
        </w:rPr>
        <w:t>萬元</w:t>
      </w:r>
      <w:r w:rsidR="00895DA1" w:rsidRPr="00A51D82">
        <w:rPr>
          <w:rFonts w:eastAsia="標楷體" w:hint="eastAsia"/>
          <w:sz w:val="28"/>
        </w:rPr>
        <w:t>獎勵金</w:t>
      </w:r>
      <w:r w:rsidR="00895DA1" w:rsidRPr="00A51D82">
        <w:rPr>
          <w:rFonts w:eastAsia="標楷體"/>
          <w:sz w:val="28"/>
        </w:rPr>
        <w:t>。</w:t>
      </w:r>
    </w:p>
    <w:p w:rsidR="00895DA1" w:rsidRPr="00A51D82" w:rsidRDefault="000B367C"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bookmarkStart w:id="1" w:name="_Toc513541941"/>
      <w:r>
        <w:rPr>
          <w:rFonts w:eastAsia="標楷體" w:hint="eastAsia"/>
          <w:sz w:val="28"/>
          <w:szCs w:val="28"/>
        </w:rPr>
        <w:t>獎勵金運用以獲獎村里</w:t>
      </w:r>
      <w:r w:rsidR="00895DA1" w:rsidRPr="00A51D82">
        <w:rPr>
          <w:rFonts w:eastAsia="標楷體"/>
          <w:sz w:val="28"/>
          <w:szCs w:val="28"/>
        </w:rPr>
        <w:t>辦理</w:t>
      </w:r>
      <w:r w:rsidR="00895DA1" w:rsidRPr="00A51D82">
        <w:rPr>
          <w:rFonts w:eastAsia="標楷體" w:hint="eastAsia"/>
          <w:sz w:val="28"/>
          <w:szCs w:val="28"/>
        </w:rPr>
        <w:t>其轄內村里民參與節能教育推廣參訪活動，或進行社區節</w:t>
      </w:r>
      <w:r w:rsidR="00895DA1" w:rsidRPr="00A51D82">
        <w:rPr>
          <w:rFonts w:eastAsia="標楷體"/>
          <w:sz w:val="28"/>
          <w:szCs w:val="28"/>
        </w:rPr>
        <w:t>電改善</w:t>
      </w:r>
      <w:r w:rsidR="00380694">
        <w:rPr>
          <w:rFonts w:eastAsia="標楷體" w:hint="eastAsia"/>
          <w:sz w:val="28"/>
          <w:szCs w:val="28"/>
        </w:rPr>
        <w:t>及</w:t>
      </w:r>
      <w:r w:rsidR="00895DA1" w:rsidRPr="00A51D82">
        <w:rPr>
          <w:rFonts w:eastAsia="標楷體"/>
          <w:sz w:val="28"/>
          <w:szCs w:val="28"/>
        </w:rPr>
        <w:t>推廣</w:t>
      </w:r>
      <w:r w:rsidR="00780338" w:rsidRPr="00A51D82">
        <w:rPr>
          <w:rFonts w:eastAsia="標楷體" w:hint="eastAsia"/>
          <w:sz w:val="28"/>
          <w:szCs w:val="28"/>
        </w:rPr>
        <w:t>等事項</w:t>
      </w:r>
      <w:r w:rsidR="00895DA1" w:rsidRPr="00A51D82">
        <w:rPr>
          <w:rFonts w:eastAsia="標楷體" w:hint="eastAsia"/>
          <w:sz w:val="28"/>
          <w:szCs w:val="28"/>
        </w:rPr>
        <w:t>為原則。</w:t>
      </w:r>
    </w:p>
    <w:p w:rsidR="00895DA1" w:rsidRDefault="00780338"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szCs w:val="28"/>
        </w:rPr>
        <w:t>獲獎單位</w:t>
      </w:r>
      <w:r w:rsidR="00895DA1" w:rsidRPr="00A51D82">
        <w:rPr>
          <w:rFonts w:eastAsia="標楷體" w:hint="eastAsia"/>
          <w:sz w:val="28"/>
          <w:szCs w:val="28"/>
        </w:rPr>
        <w:t>獎勵金</w:t>
      </w:r>
      <w:r w:rsidR="00380694">
        <w:rPr>
          <w:rFonts w:eastAsia="標楷體" w:hint="eastAsia"/>
          <w:sz w:val="28"/>
          <w:szCs w:val="28"/>
        </w:rPr>
        <w:t>之申請與</w:t>
      </w:r>
      <w:r w:rsidR="00A30AD8">
        <w:rPr>
          <w:rFonts w:eastAsia="標楷體" w:hint="eastAsia"/>
          <w:sz w:val="28"/>
          <w:szCs w:val="28"/>
        </w:rPr>
        <w:t>審核</w:t>
      </w:r>
      <w:r w:rsidR="00895DA1" w:rsidRPr="00A51D82">
        <w:rPr>
          <w:rFonts w:eastAsia="標楷體" w:hint="eastAsia"/>
          <w:sz w:val="28"/>
          <w:szCs w:val="28"/>
        </w:rPr>
        <w:t>，由</w:t>
      </w:r>
      <w:r w:rsidR="00A30AD8">
        <w:rPr>
          <w:rFonts w:eastAsia="標楷體" w:hint="eastAsia"/>
          <w:sz w:val="28"/>
          <w:szCs w:val="28"/>
        </w:rPr>
        <w:t>其上級</w:t>
      </w:r>
      <w:r w:rsidR="00895DA1" w:rsidRPr="00A51D82">
        <w:rPr>
          <w:rFonts w:eastAsia="標楷體" w:hint="eastAsia"/>
          <w:sz w:val="28"/>
          <w:szCs w:val="28"/>
        </w:rPr>
        <w:t>直轄市、縣</w:t>
      </w:r>
      <w:r w:rsidR="00895DA1" w:rsidRPr="00A51D82">
        <w:rPr>
          <w:rFonts w:eastAsia="標楷體" w:hint="eastAsia"/>
          <w:sz w:val="28"/>
          <w:szCs w:val="28"/>
        </w:rPr>
        <w:t>(</w:t>
      </w:r>
      <w:r w:rsidR="00895DA1" w:rsidRPr="00A51D82">
        <w:rPr>
          <w:rFonts w:eastAsia="標楷體" w:hint="eastAsia"/>
          <w:sz w:val="28"/>
          <w:szCs w:val="28"/>
        </w:rPr>
        <w:t>市</w:t>
      </w:r>
      <w:r w:rsidR="00895DA1" w:rsidRPr="00A51D82">
        <w:rPr>
          <w:rFonts w:eastAsia="標楷體" w:hint="eastAsia"/>
          <w:sz w:val="28"/>
          <w:szCs w:val="28"/>
        </w:rPr>
        <w:t>)</w:t>
      </w:r>
      <w:r w:rsidR="00895DA1" w:rsidRPr="00A51D82">
        <w:rPr>
          <w:rFonts w:eastAsia="標楷體" w:hint="eastAsia"/>
          <w:sz w:val="28"/>
          <w:szCs w:val="28"/>
        </w:rPr>
        <w:t>政府</w:t>
      </w:r>
      <w:r w:rsidRPr="00A51D82">
        <w:rPr>
          <w:rFonts w:eastAsia="標楷體" w:hint="eastAsia"/>
          <w:sz w:val="28"/>
          <w:szCs w:val="28"/>
        </w:rPr>
        <w:t>訂定</w:t>
      </w:r>
      <w:r w:rsidR="00895DA1" w:rsidRPr="00A51D82">
        <w:rPr>
          <w:rFonts w:eastAsia="標楷體" w:hint="eastAsia"/>
          <w:sz w:val="28"/>
          <w:szCs w:val="28"/>
        </w:rPr>
        <w:t>支用原則</w:t>
      </w:r>
      <w:r w:rsidR="00A30AD8">
        <w:rPr>
          <w:rFonts w:eastAsia="標楷體" w:hint="eastAsia"/>
          <w:sz w:val="28"/>
          <w:szCs w:val="28"/>
        </w:rPr>
        <w:t>，並指定權責單位</w:t>
      </w:r>
      <w:r w:rsidR="000B367C">
        <w:rPr>
          <w:rFonts w:eastAsia="標楷體" w:hint="eastAsia"/>
          <w:sz w:val="28"/>
          <w:szCs w:val="28"/>
        </w:rPr>
        <w:t>辦理</w:t>
      </w:r>
      <w:r w:rsidR="00CC4142">
        <w:rPr>
          <w:rFonts w:eastAsia="標楷體" w:hint="eastAsia"/>
          <w:sz w:val="28"/>
          <w:szCs w:val="28"/>
        </w:rPr>
        <w:t>轉發作業</w:t>
      </w:r>
      <w:r w:rsidR="000B367C">
        <w:rPr>
          <w:rFonts w:eastAsia="標楷體" w:hint="eastAsia"/>
          <w:sz w:val="28"/>
          <w:szCs w:val="28"/>
        </w:rPr>
        <w:t>，其衍生之行政作業費用另由本部支付，每獎次新臺</w:t>
      </w:r>
      <w:r w:rsidRPr="00A51D82">
        <w:rPr>
          <w:rFonts w:eastAsia="標楷體" w:hint="eastAsia"/>
          <w:sz w:val="28"/>
          <w:szCs w:val="28"/>
        </w:rPr>
        <w:t>幣</w:t>
      </w:r>
      <w:r w:rsidR="006C7DE7">
        <w:rPr>
          <w:rFonts w:eastAsia="標楷體" w:hint="eastAsia"/>
          <w:sz w:val="28"/>
          <w:szCs w:val="28"/>
        </w:rPr>
        <w:t>一千五百</w:t>
      </w:r>
      <w:r w:rsidRPr="00A51D82">
        <w:rPr>
          <w:rFonts w:eastAsia="標楷體" w:hint="eastAsia"/>
          <w:sz w:val="28"/>
          <w:szCs w:val="28"/>
        </w:rPr>
        <w:t>元。如獎勵金發放期間有村里疆界變更者，由直轄市</w:t>
      </w:r>
      <w:r w:rsidR="00EE4AAA">
        <w:rPr>
          <w:rFonts w:eastAsia="標楷體" w:hint="eastAsia"/>
          <w:sz w:val="28"/>
          <w:szCs w:val="28"/>
        </w:rPr>
        <w:t>、</w:t>
      </w:r>
      <w:r w:rsidRPr="00A51D82">
        <w:rPr>
          <w:rFonts w:eastAsia="標楷體" w:hint="eastAsia"/>
          <w:sz w:val="28"/>
          <w:szCs w:val="28"/>
        </w:rPr>
        <w:t>縣</w:t>
      </w:r>
      <w:r w:rsidRPr="00A51D82">
        <w:rPr>
          <w:rFonts w:eastAsia="標楷體" w:hint="eastAsia"/>
          <w:sz w:val="28"/>
          <w:szCs w:val="28"/>
        </w:rPr>
        <w:t>(</w:t>
      </w:r>
      <w:r w:rsidRPr="00A51D82">
        <w:rPr>
          <w:rFonts w:eastAsia="標楷體" w:hint="eastAsia"/>
          <w:sz w:val="28"/>
          <w:szCs w:val="28"/>
        </w:rPr>
        <w:t>市</w:t>
      </w:r>
      <w:r w:rsidRPr="00A51D82">
        <w:rPr>
          <w:rFonts w:eastAsia="標楷體" w:hint="eastAsia"/>
          <w:sz w:val="28"/>
          <w:szCs w:val="28"/>
        </w:rPr>
        <w:t>)</w:t>
      </w:r>
      <w:r w:rsidRPr="00A51D82">
        <w:rPr>
          <w:rFonts w:eastAsia="標楷體" w:hint="eastAsia"/>
          <w:sz w:val="28"/>
          <w:szCs w:val="28"/>
        </w:rPr>
        <w:t>政府依變更緣由</w:t>
      </w:r>
      <w:r w:rsidR="00380694">
        <w:rPr>
          <w:rFonts w:eastAsia="標楷體" w:hint="eastAsia"/>
          <w:sz w:val="28"/>
          <w:szCs w:val="28"/>
        </w:rPr>
        <w:t>及</w:t>
      </w:r>
      <w:r w:rsidR="001F7303" w:rsidRPr="00A51D82">
        <w:rPr>
          <w:rFonts w:eastAsia="標楷體" w:hint="eastAsia"/>
          <w:sz w:val="28"/>
          <w:szCs w:val="28"/>
        </w:rPr>
        <w:t>情形</w:t>
      </w:r>
      <w:r w:rsidRPr="00A51D82">
        <w:rPr>
          <w:rFonts w:eastAsia="標楷體" w:hint="eastAsia"/>
          <w:sz w:val="28"/>
          <w:szCs w:val="28"/>
        </w:rPr>
        <w:t>妥適辦理。</w:t>
      </w:r>
    </w:p>
    <w:p w:rsidR="00A30AD8" w:rsidRDefault="008401D8" w:rsidP="00A30AD8">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8401D8">
        <w:rPr>
          <w:rFonts w:eastAsia="標楷體" w:hint="eastAsia"/>
          <w:sz w:val="28"/>
          <w:szCs w:val="28"/>
        </w:rPr>
        <w:lastRenderedPageBreak/>
        <w:t>獲獎</w:t>
      </w:r>
      <w:r w:rsidR="00CC4142">
        <w:rPr>
          <w:rFonts w:eastAsia="標楷體" w:hint="eastAsia"/>
          <w:sz w:val="28"/>
          <w:szCs w:val="28"/>
        </w:rPr>
        <w:t>單位</w:t>
      </w:r>
      <w:r w:rsidR="00380694">
        <w:rPr>
          <w:rFonts w:eastAsia="標楷體" w:hint="eastAsia"/>
          <w:sz w:val="28"/>
          <w:szCs w:val="28"/>
        </w:rPr>
        <w:t>獎勵金與</w:t>
      </w:r>
      <w:r w:rsidR="00CC4142">
        <w:rPr>
          <w:rFonts w:eastAsia="標楷體" w:hint="eastAsia"/>
          <w:sz w:val="28"/>
          <w:szCs w:val="28"/>
        </w:rPr>
        <w:t>發放</w:t>
      </w:r>
      <w:r w:rsidRPr="008401D8">
        <w:rPr>
          <w:rFonts w:eastAsia="標楷體" w:hint="eastAsia"/>
          <w:sz w:val="28"/>
          <w:szCs w:val="28"/>
        </w:rPr>
        <w:t>行政作業費用應納入預算</w:t>
      </w:r>
      <w:r w:rsidR="00380694" w:rsidRPr="008401D8">
        <w:rPr>
          <w:rFonts w:eastAsia="標楷體" w:hint="eastAsia"/>
          <w:sz w:val="28"/>
          <w:szCs w:val="28"/>
        </w:rPr>
        <w:t>辦理</w:t>
      </w:r>
      <w:r w:rsidRPr="008401D8">
        <w:rPr>
          <w:rFonts w:eastAsia="標楷體" w:hint="eastAsia"/>
          <w:sz w:val="28"/>
          <w:szCs w:val="28"/>
        </w:rPr>
        <w:t>，</w:t>
      </w:r>
      <w:r w:rsidR="00CC4142">
        <w:rPr>
          <w:rFonts w:eastAsia="標楷體" w:hint="eastAsia"/>
          <w:sz w:val="28"/>
          <w:szCs w:val="28"/>
        </w:rPr>
        <w:t>由</w:t>
      </w:r>
      <w:r w:rsidR="00CC4142" w:rsidRPr="008401D8">
        <w:rPr>
          <w:rFonts w:eastAsia="標楷體" w:hint="eastAsia"/>
          <w:sz w:val="28"/>
          <w:szCs w:val="28"/>
        </w:rPr>
        <w:t>直轄市、縣</w:t>
      </w:r>
      <w:r w:rsidR="00CC4142" w:rsidRPr="008401D8">
        <w:rPr>
          <w:rFonts w:eastAsia="標楷體" w:hint="eastAsia"/>
          <w:sz w:val="28"/>
          <w:szCs w:val="28"/>
        </w:rPr>
        <w:t>(</w:t>
      </w:r>
      <w:r w:rsidR="00CC4142" w:rsidRPr="008401D8">
        <w:rPr>
          <w:rFonts w:eastAsia="標楷體" w:hint="eastAsia"/>
          <w:sz w:val="28"/>
          <w:szCs w:val="28"/>
        </w:rPr>
        <w:t>市</w:t>
      </w:r>
      <w:r w:rsidR="00CC4142" w:rsidRPr="008401D8">
        <w:rPr>
          <w:rFonts w:eastAsia="標楷體" w:hint="eastAsia"/>
          <w:sz w:val="28"/>
          <w:szCs w:val="28"/>
        </w:rPr>
        <w:t>)</w:t>
      </w:r>
      <w:r w:rsidR="00CC4142">
        <w:rPr>
          <w:rFonts w:eastAsia="標楷體" w:hint="eastAsia"/>
          <w:sz w:val="28"/>
          <w:szCs w:val="28"/>
        </w:rPr>
        <w:t>政府檢具收據、納入預算證明文件</w:t>
      </w:r>
      <w:r w:rsidR="00CC4142">
        <w:rPr>
          <w:rFonts w:eastAsia="標楷體" w:hint="eastAsia"/>
          <w:sz w:val="28"/>
          <w:szCs w:val="28"/>
        </w:rPr>
        <w:t>(</w:t>
      </w:r>
      <w:r w:rsidR="00CC4142">
        <w:rPr>
          <w:rFonts w:eastAsia="標楷體" w:hint="eastAsia"/>
          <w:sz w:val="28"/>
          <w:szCs w:val="28"/>
        </w:rPr>
        <w:t>含</w:t>
      </w:r>
      <w:r w:rsidR="00D82532">
        <w:rPr>
          <w:rFonts w:eastAsia="標楷體" w:hint="eastAsia"/>
          <w:sz w:val="28"/>
          <w:szCs w:val="28"/>
        </w:rPr>
        <w:t>獎勵金</w:t>
      </w:r>
      <w:r w:rsidR="00CC4142">
        <w:rPr>
          <w:rFonts w:eastAsia="標楷體" w:hint="eastAsia"/>
          <w:sz w:val="28"/>
          <w:szCs w:val="28"/>
        </w:rPr>
        <w:t>預算用途規劃說明資料</w:t>
      </w:r>
      <w:r w:rsidR="00CC4142">
        <w:rPr>
          <w:rFonts w:eastAsia="標楷體" w:hint="eastAsia"/>
          <w:sz w:val="28"/>
          <w:szCs w:val="28"/>
        </w:rPr>
        <w:t>)</w:t>
      </w:r>
      <w:r w:rsidR="00CC4142">
        <w:rPr>
          <w:rFonts w:eastAsia="標楷體" w:hint="eastAsia"/>
          <w:sz w:val="28"/>
          <w:szCs w:val="28"/>
        </w:rPr>
        <w:t>，及獎勵金</w:t>
      </w:r>
      <w:r w:rsidR="00F20FF8">
        <w:rPr>
          <w:rFonts w:eastAsia="標楷體" w:hint="eastAsia"/>
          <w:sz w:val="28"/>
          <w:szCs w:val="28"/>
        </w:rPr>
        <w:t>支</w:t>
      </w:r>
      <w:r w:rsidR="00CC4142">
        <w:rPr>
          <w:rFonts w:eastAsia="標楷體" w:hint="eastAsia"/>
          <w:sz w:val="28"/>
          <w:szCs w:val="28"/>
        </w:rPr>
        <w:t>用原則，</w:t>
      </w:r>
      <w:r w:rsidR="00CC4142" w:rsidRPr="008401D8">
        <w:rPr>
          <w:rFonts w:eastAsia="標楷體" w:hint="eastAsia"/>
          <w:sz w:val="28"/>
          <w:szCs w:val="28"/>
        </w:rPr>
        <w:t>向本部辦理請撥作業</w:t>
      </w:r>
      <w:r w:rsidR="00CC4142">
        <w:rPr>
          <w:rFonts w:eastAsia="標楷體" w:hint="eastAsia"/>
          <w:sz w:val="28"/>
          <w:szCs w:val="28"/>
        </w:rPr>
        <w:t>；</w:t>
      </w:r>
      <w:r w:rsidRPr="008401D8">
        <w:rPr>
          <w:rFonts w:eastAsia="標楷體" w:hint="eastAsia"/>
          <w:sz w:val="28"/>
          <w:szCs w:val="28"/>
        </w:rPr>
        <w:t>如獲獎單位支用獎勵金有結餘款項，應繳回本部。</w:t>
      </w:r>
    </w:p>
    <w:p w:rsidR="00C15EE2" w:rsidRPr="00A51D82" w:rsidRDefault="00380694"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Pr>
          <w:rFonts w:eastAsia="標楷體" w:hint="eastAsia"/>
          <w:sz w:val="28"/>
          <w:szCs w:val="28"/>
        </w:rPr>
        <w:t>由</w:t>
      </w:r>
      <w:r w:rsidR="00E62CA0" w:rsidRPr="00A51D82">
        <w:rPr>
          <w:rFonts w:eastAsia="標楷體"/>
          <w:sz w:val="28"/>
          <w:szCs w:val="28"/>
        </w:rPr>
        <w:t>本部函請各協辦單位，針對推動村里節電有功之相關人員優予敘獎，最高以</w:t>
      </w:r>
      <w:r w:rsidR="000B367C">
        <w:rPr>
          <w:rFonts w:eastAsia="標楷體" w:hint="eastAsia"/>
          <w:sz w:val="28"/>
          <w:szCs w:val="28"/>
        </w:rPr>
        <w:t>每人</w:t>
      </w:r>
      <w:r w:rsidR="00E62CA0" w:rsidRPr="00A51D82">
        <w:rPr>
          <w:rFonts w:eastAsia="標楷體"/>
          <w:sz w:val="28"/>
          <w:szCs w:val="28"/>
        </w:rPr>
        <w:t>嘉獎</w:t>
      </w:r>
      <w:r w:rsidR="003E48FE">
        <w:rPr>
          <w:rFonts w:eastAsia="標楷體" w:hint="eastAsia"/>
          <w:sz w:val="28"/>
          <w:szCs w:val="28"/>
        </w:rPr>
        <w:t>兩</w:t>
      </w:r>
      <w:r w:rsidR="00E62CA0" w:rsidRPr="00A51D82">
        <w:rPr>
          <w:rFonts w:eastAsia="標楷體"/>
          <w:sz w:val="28"/>
          <w:szCs w:val="28"/>
        </w:rPr>
        <w:t>次為原則。</w:t>
      </w:r>
    </w:p>
    <w:p w:rsidR="001F7303" w:rsidRPr="00A51D82" w:rsidRDefault="001F7303" w:rsidP="00A51D82">
      <w:pPr>
        <w:pStyle w:val="a3"/>
        <w:numPr>
          <w:ilvl w:val="0"/>
          <w:numId w:val="13"/>
        </w:numPr>
        <w:adjustRightInd w:val="0"/>
        <w:snapToGrid w:val="0"/>
        <w:spacing w:line="520" w:lineRule="exact"/>
        <w:ind w:leftChars="60" w:left="707" w:hangingChars="201" w:hanging="563"/>
        <w:jc w:val="both"/>
        <w:rPr>
          <w:rFonts w:eastAsia="標楷體"/>
          <w:sz w:val="28"/>
          <w:szCs w:val="28"/>
        </w:rPr>
      </w:pPr>
      <w:r w:rsidRPr="00A51D82">
        <w:rPr>
          <w:rFonts w:eastAsia="標楷體" w:hint="eastAsia"/>
          <w:sz w:val="28"/>
          <w:szCs w:val="28"/>
        </w:rPr>
        <w:t>如獲獎單位之總獲獎金額逾本部編列</w:t>
      </w:r>
      <w:r w:rsidR="00E9686F">
        <w:rPr>
          <w:rFonts w:eastAsia="標楷體" w:hint="eastAsia"/>
          <w:sz w:val="28"/>
          <w:szCs w:val="28"/>
        </w:rPr>
        <w:t>經</w:t>
      </w:r>
      <w:r w:rsidRPr="00A51D82">
        <w:rPr>
          <w:rFonts w:eastAsia="標楷體" w:hint="eastAsia"/>
          <w:sz w:val="28"/>
          <w:szCs w:val="28"/>
        </w:rPr>
        <w:t>費，將依所編經費等比例調整各獲獎單位之獎勵金。</w:t>
      </w:r>
    </w:p>
    <w:bookmarkEnd w:id="1"/>
    <w:p w:rsidR="00A039FC" w:rsidRPr="00A51D82" w:rsidRDefault="00BA0BCF" w:rsidP="00A51D82">
      <w:pPr>
        <w:adjustRightInd w:val="0"/>
        <w:snapToGrid w:val="0"/>
        <w:spacing w:line="520" w:lineRule="exact"/>
        <w:ind w:left="532" w:hangingChars="190" w:hanging="532"/>
        <w:jc w:val="both"/>
        <w:rPr>
          <w:rFonts w:eastAsia="標楷體"/>
          <w:sz w:val="28"/>
          <w:szCs w:val="28"/>
        </w:rPr>
      </w:pPr>
      <w:r w:rsidRPr="00A51D82">
        <w:rPr>
          <w:rFonts w:eastAsia="標楷體" w:hint="eastAsia"/>
          <w:sz w:val="28"/>
          <w:szCs w:val="28"/>
        </w:rPr>
        <w:t>八、</w:t>
      </w:r>
      <w:r w:rsidR="00A039FC" w:rsidRPr="00A51D82">
        <w:rPr>
          <w:rFonts w:eastAsia="標楷體" w:hint="eastAsia"/>
          <w:sz w:val="28"/>
          <w:szCs w:val="28"/>
        </w:rPr>
        <w:t>本競賽獎金所需經費由經濟部石油基金支應。</w:t>
      </w:r>
    </w:p>
    <w:p w:rsidR="008278A4" w:rsidRPr="00A51D82" w:rsidRDefault="008278A4" w:rsidP="00860B0E">
      <w:pPr>
        <w:adjustRightInd w:val="0"/>
        <w:snapToGrid w:val="0"/>
        <w:spacing w:beforeLines="50" w:before="180"/>
        <w:ind w:leftChars="400" w:left="960"/>
        <w:jc w:val="center"/>
        <w:rPr>
          <w:rFonts w:eastAsia="標楷體"/>
          <w:sz w:val="22"/>
        </w:rPr>
      </w:pPr>
    </w:p>
    <w:sectPr w:rsidR="008278A4" w:rsidRPr="00A51D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17" w:rsidRDefault="00B91E17" w:rsidP="00E47242">
      <w:r>
        <w:separator/>
      </w:r>
    </w:p>
  </w:endnote>
  <w:endnote w:type="continuationSeparator" w:id="0">
    <w:p w:rsidR="00B91E17" w:rsidRDefault="00B91E17" w:rsidP="00E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17" w:rsidRDefault="00B91E17" w:rsidP="00E47242">
      <w:r>
        <w:separator/>
      </w:r>
    </w:p>
  </w:footnote>
  <w:footnote w:type="continuationSeparator" w:id="0">
    <w:p w:rsidR="00B91E17" w:rsidRDefault="00B91E17" w:rsidP="00E4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435_"/>
      </v:shape>
    </w:pict>
  </w:numPicBullet>
  <w:abstractNum w:abstractNumId="0" w15:restartNumberingAfterBreak="0">
    <w:nsid w:val="0A1A265E"/>
    <w:multiLevelType w:val="hybridMultilevel"/>
    <w:tmpl w:val="52482B42"/>
    <w:lvl w:ilvl="0" w:tplc="41085F58">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54969"/>
    <w:multiLevelType w:val="hybridMultilevel"/>
    <w:tmpl w:val="F8E4FB88"/>
    <w:lvl w:ilvl="0" w:tplc="A40029C6">
      <w:start w:val="1"/>
      <w:numFmt w:val="taiwaneseCountingThousand"/>
      <w:lvlText w:val="(%1)"/>
      <w:lvlJc w:val="left"/>
      <w:pPr>
        <w:ind w:left="1209" w:hanging="465"/>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2" w15:restartNumberingAfterBreak="0">
    <w:nsid w:val="120466E6"/>
    <w:multiLevelType w:val="hybridMultilevel"/>
    <w:tmpl w:val="394A31D0"/>
    <w:lvl w:ilvl="0" w:tplc="C1B6E3C2">
      <w:start w:val="1"/>
      <w:numFmt w:val="taiwaneseCountingThousand"/>
      <w:lvlText w:val="(%1)"/>
      <w:lvlJc w:val="left"/>
      <w:pPr>
        <w:ind w:left="720" w:hanging="480"/>
      </w:pPr>
      <w:rPr>
        <w:rFonts w:hint="default"/>
      </w:rPr>
    </w:lvl>
    <w:lvl w:ilvl="1" w:tplc="DEA022D4">
      <w:start w:val="1"/>
      <w:numFmt w:val="taiwaneseCountingThousand"/>
      <w:lvlText w:val="(%2)"/>
      <w:lvlJc w:val="left"/>
      <w:pPr>
        <w:ind w:left="1180" w:hanging="4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3B24B47"/>
    <w:multiLevelType w:val="hybridMultilevel"/>
    <w:tmpl w:val="32460FF2"/>
    <w:lvl w:ilvl="0" w:tplc="E89E794A">
      <w:start w:val="1"/>
      <w:numFmt w:val="taiwaneseCountingThousand"/>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4" w15:restartNumberingAfterBreak="0">
    <w:nsid w:val="19796F1F"/>
    <w:multiLevelType w:val="hybridMultilevel"/>
    <w:tmpl w:val="5CEC2E5A"/>
    <w:lvl w:ilvl="0" w:tplc="0409000F">
      <w:start w:val="1"/>
      <w:numFmt w:val="decimal"/>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5" w15:restartNumberingAfterBreak="0">
    <w:nsid w:val="25363AFC"/>
    <w:multiLevelType w:val="hybridMultilevel"/>
    <w:tmpl w:val="95B4C464"/>
    <w:lvl w:ilvl="0" w:tplc="D040B11C">
      <w:start w:val="1"/>
      <w:numFmt w:val="taiwaneseCountingThousand"/>
      <w:lvlText w:val="(%1)"/>
      <w:lvlJc w:val="left"/>
      <w:pPr>
        <w:ind w:left="3741" w:hanging="480"/>
      </w:pPr>
      <w:rPr>
        <w:rFonts w:asciiTheme="minorHAnsi" w:hAnsiTheme="minorHAnsi" w:cstheme="minorHAnsi" w:hint="default"/>
        <w:sz w:val="28"/>
      </w:rPr>
    </w:lvl>
    <w:lvl w:ilvl="1" w:tplc="DEA022D4">
      <w:start w:val="1"/>
      <w:numFmt w:val="taiwaneseCountingThousand"/>
      <w:lvlText w:val="(%2)"/>
      <w:lvlJc w:val="left"/>
      <w:pPr>
        <w:ind w:left="2739" w:hanging="460"/>
      </w:pPr>
      <w:rPr>
        <w:rFonts w:hint="default"/>
      </w:rPr>
    </w:lvl>
    <w:lvl w:ilvl="2" w:tplc="0409001B" w:tentative="1">
      <w:start w:val="1"/>
      <w:numFmt w:val="lowerRoman"/>
      <w:lvlText w:val="%3."/>
      <w:lvlJc w:val="right"/>
      <w:pPr>
        <w:ind w:left="3239" w:hanging="480"/>
      </w:pPr>
    </w:lvl>
    <w:lvl w:ilvl="3" w:tplc="0409000F" w:tentative="1">
      <w:start w:val="1"/>
      <w:numFmt w:val="decimal"/>
      <w:lvlText w:val="%4."/>
      <w:lvlJc w:val="left"/>
      <w:pPr>
        <w:ind w:left="3719" w:hanging="480"/>
      </w:pPr>
    </w:lvl>
    <w:lvl w:ilvl="4" w:tplc="04090019" w:tentative="1">
      <w:start w:val="1"/>
      <w:numFmt w:val="ideographTraditional"/>
      <w:lvlText w:val="%5、"/>
      <w:lvlJc w:val="left"/>
      <w:pPr>
        <w:ind w:left="4199" w:hanging="480"/>
      </w:pPr>
    </w:lvl>
    <w:lvl w:ilvl="5" w:tplc="0409001B" w:tentative="1">
      <w:start w:val="1"/>
      <w:numFmt w:val="lowerRoman"/>
      <w:lvlText w:val="%6."/>
      <w:lvlJc w:val="right"/>
      <w:pPr>
        <w:ind w:left="4679" w:hanging="480"/>
      </w:pPr>
    </w:lvl>
    <w:lvl w:ilvl="6" w:tplc="0409000F" w:tentative="1">
      <w:start w:val="1"/>
      <w:numFmt w:val="decimal"/>
      <w:lvlText w:val="%7."/>
      <w:lvlJc w:val="left"/>
      <w:pPr>
        <w:ind w:left="5159" w:hanging="480"/>
      </w:pPr>
    </w:lvl>
    <w:lvl w:ilvl="7" w:tplc="04090019" w:tentative="1">
      <w:start w:val="1"/>
      <w:numFmt w:val="ideographTraditional"/>
      <w:lvlText w:val="%8、"/>
      <w:lvlJc w:val="left"/>
      <w:pPr>
        <w:ind w:left="5639" w:hanging="480"/>
      </w:pPr>
    </w:lvl>
    <w:lvl w:ilvl="8" w:tplc="0409001B" w:tentative="1">
      <w:start w:val="1"/>
      <w:numFmt w:val="lowerRoman"/>
      <w:lvlText w:val="%9."/>
      <w:lvlJc w:val="right"/>
      <w:pPr>
        <w:ind w:left="6119" w:hanging="480"/>
      </w:pPr>
    </w:lvl>
  </w:abstractNum>
  <w:abstractNum w:abstractNumId="6" w15:restartNumberingAfterBreak="0">
    <w:nsid w:val="33E401C2"/>
    <w:multiLevelType w:val="hybridMultilevel"/>
    <w:tmpl w:val="3EAEFF78"/>
    <w:lvl w:ilvl="0" w:tplc="BA82A680">
      <w:start w:val="1"/>
      <w:numFmt w:val="bullet"/>
      <w:lvlText w:val=""/>
      <w:lvlPicBulletId w:val="0"/>
      <w:lvlJc w:val="left"/>
      <w:pPr>
        <w:ind w:left="3741" w:hanging="480"/>
      </w:pPr>
      <w:rPr>
        <w:rFonts w:ascii="Symbol" w:hAnsi="Symbol" w:hint="default"/>
        <w:color w:val="auto"/>
      </w:rPr>
    </w:lvl>
    <w:lvl w:ilvl="1" w:tplc="04090003" w:tentative="1">
      <w:start w:val="1"/>
      <w:numFmt w:val="bullet"/>
      <w:lvlText w:val=""/>
      <w:lvlJc w:val="left"/>
      <w:pPr>
        <w:ind w:left="4221" w:hanging="480"/>
      </w:pPr>
      <w:rPr>
        <w:rFonts w:ascii="Wingdings" w:hAnsi="Wingdings" w:hint="default"/>
      </w:rPr>
    </w:lvl>
    <w:lvl w:ilvl="2" w:tplc="04090005" w:tentative="1">
      <w:start w:val="1"/>
      <w:numFmt w:val="bullet"/>
      <w:lvlText w:val=""/>
      <w:lvlJc w:val="left"/>
      <w:pPr>
        <w:ind w:left="4701" w:hanging="480"/>
      </w:pPr>
      <w:rPr>
        <w:rFonts w:ascii="Wingdings" w:hAnsi="Wingdings" w:hint="default"/>
      </w:rPr>
    </w:lvl>
    <w:lvl w:ilvl="3" w:tplc="04090001" w:tentative="1">
      <w:start w:val="1"/>
      <w:numFmt w:val="bullet"/>
      <w:lvlText w:val=""/>
      <w:lvlJc w:val="left"/>
      <w:pPr>
        <w:ind w:left="5181" w:hanging="480"/>
      </w:pPr>
      <w:rPr>
        <w:rFonts w:ascii="Wingdings" w:hAnsi="Wingdings" w:hint="default"/>
      </w:rPr>
    </w:lvl>
    <w:lvl w:ilvl="4" w:tplc="04090003" w:tentative="1">
      <w:start w:val="1"/>
      <w:numFmt w:val="bullet"/>
      <w:lvlText w:val=""/>
      <w:lvlJc w:val="left"/>
      <w:pPr>
        <w:ind w:left="5661" w:hanging="480"/>
      </w:pPr>
      <w:rPr>
        <w:rFonts w:ascii="Wingdings" w:hAnsi="Wingdings" w:hint="default"/>
      </w:rPr>
    </w:lvl>
    <w:lvl w:ilvl="5" w:tplc="04090005" w:tentative="1">
      <w:start w:val="1"/>
      <w:numFmt w:val="bullet"/>
      <w:lvlText w:val=""/>
      <w:lvlJc w:val="left"/>
      <w:pPr>
        <w:ind w:left="6141" w:hanging="480"/>
      </w:pPr>
      <w:rPr>
        <w:rFonts w:ascii="Wingdings" w:hAnsi="Wingdings" w:hint="default"/>
      </w:rPr>
    </w:lvl>
    <w:lvl w:ilvl="6" w:tplc="04090001" w:tentative="1">
      <w:start w:val="1"/>
      <w:numFmt w:val="bullet"/>
      <w:lvlText w:val=""/>
      <w:lvlJc w:val="left"/>
      <w:pPr>
        <w:ind w:left="6621" w:hanging="480"/>
      </w:pPr>
      <w:rPr>
        <w:rFonts w:ascii="Wingdings" w:hAnsi="Wingdings" w:hint="default"/>
      </w:rPr>
    </w:lvl>
    <w:lvl w:ilvl="7" w:tplc="04090003" w:tentative="1">
      <w:start w:val="1"/>
      <w:numFmt w:val="bullet"/>
      <w:lvlText w:val=""/>
      <w:lvlJc w:val="left"/>
      <w:pPr>
        <w:ind w:left="7101" w:hanging="480"/>
      </w:pPr>
      <w:rPr>
        <w:rFonts w:ascii="Wingdings" w:hAnsi="Wingdings" w:hint="default"/>
      </w:rPr>
    </w:lvl>
    <w:lvl w:ilvl="8" w:tplc="04090005" w:tentative="1">
      <w:start w:val="1"/>
      <w:numFmt w:val="bullet"/>
      <w:lvlText w:val=""/>
      <w:lvlJc w:val="left"/>
      <w:pPr>
        <w:ind w:left="7581" w:hanging="480"/>
      </w:pPr>
      <w:rPr>
        <w:rFonts w:ascii="Wingdings" w:hAnsi="Wingdings" w:hint="default"/>
      </w:rPr>
    </w:lvl>
  </w:abstractNum>
  <w:abstractNum w:abstractNumId="7" w15:restartNumberingAfterBreak="0">
    <w:nsid w:val="3649434A"/>
    <w:multiLevelType w:val="hybridMultilevel"/>
    <w:tmpl w:val="95B4C464"/>
    <w:lvl w:ilvl="0" w:tplc="D040B11C">
      <w:start w:val="1"/>
      <w:numFmt w:val="taiwaneseCountingThousand"/>
      <w:lvlText w:val="(%1)"/>
      <w:lvlJc w:val="left"/>
      <w:pPr>
        <w:ind w:left="3741" w:hanging="480"/>
      </w:pPr>
      <w:rPr>
        <w:rFonts w:asciiTheme="minorHAnsi" w:hAnsiTheme="minorHAnsi" w:cstheme="minorHAnsi" w:hint="default"/>
        <w:sz w:val="28"/>
      </w:rPr>
    </w:lvl>
    <w:lvl w:ilvl="1" w:tplc="DEA022D4">
      <w:start w:val="1"/>
      <w:numFmt w:val="taiwaneseCountingThousand"/>
      <w:lvlText w:val="(%2)"/>
      <w:lvlJc w:val="left"/>
      <w:pPr>
        <w:ind w:left="2739" w:hanging="460"/>
      </w:pPr>
      <w:rPr>
        <w:rFonts w:hint="default"/>
      </w:rPr>
    </w:lvl>
    <w:lvl w:ilvl="2" w:tplc="0409001B" w:tentative="1">
      <w:start w:val="1"/>
      <w:numFmt w:val="lowerRoman"/>
      <w:lvlText w:val="%3."/>
      <w:lvlJc w:val="right"/>
      <w:pPr>
        <w:ind w:left="3239" w:hanging="480"/>
      </w:pPr>
    </w:lvl>
    <w:lvl w:ilvl="3" w:tplc="0409000F" w:tentative="1">
      <w:start w:val="1"/>
      <w:numFmt w:val="decimal"/>
      <w:lvlText w:val="%4."/>
      <w:lvlJc w:val="left"/>
      <w:pPr>
        <w:ind w:left="3719" w:hanging="480"/>
      </w:pPr>
    </w:lvl>
    <w:lvl w:ilvl="4" w:tplc="04090019" w:tentative="1">
      <w:start w:val="1"/>
      <w:numFmt w:val="ideographTraditional"/>
      <w:lvlText w:val="%5、"/>
      <w:lvlJc w:val="left"/>
      <w:pPr>
        <w:ind w:left="4199" w:hanging="480"/>
      </w:pPr>
    </w:lvl>
    <w:lvl w:ilvl="5" w:tplc="0409001B" w:tentative="1">
      <w:start w:val="1"/>
      <w:numFmt w:val="lowerRoman"/>
      <w:lvlText w:val="%6."/>
      <w:lvlJc w:val="right"/>
      <w:pPr>
        <w:ind w:left="4679" w:hanging="480"/>
      </w:pPr>
    </w:lvl>
    <w:lvl w:ilvl="6" w:tplc="0409000F" w:tentative="1">
      <w:start w:val="1"/>
      <w:numFmt w:val="decimal"/>
      <w:lvlText w:val="%7."/>
      <w:lvlJc w:val="left"/>
      <w:pPr>
        <w:ind w:left="5159" w:hanging="480"/>
      </w:pPr>
    </w:lvl>
    <w:lvl w:ilvl="7" w:tplc="04090019" w:tentative="1">
      <w:start w:val="1"/>
      <w:numFmt w:val="ideographTraditional"/>
      <w:lvlText w:val="%8、"/>
      <w:lvlJc w:val="left"/>
      <w:pPr>
        <w:ind w:left="5639" w:hanging="480"/>
      </w:pPr>
    </w:lvl>
    <w:lvl w:ilvl="8" w:tplc="0409001B" w:tentative="1">
      <w:start w:val="1"/>
      <w:numFmt w:val="lowerRoman"/>
      <w:lvlText w:val="%9."/>
      <w:lvlJc w:val="right"/>
      <w:pPr>
        <w:ind w:left="6119" w:hanging="480"/>
      </w:pPr>
    </w:lvl>
  </w:abstractNum>
  <w:abstractNum w:abstractNumId="8" w15:restartNumberingAfterBreak="0">
    <w:nsid w:val="37A024F4"/>
    <w:multiLevelType w:val="hybridMultilevel"/>
    <w:tmpl w:val="87AC60A4"/>
    <w:lvl w:ilvl="0" w:tplc="0409000F">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8BA7F70"/>
    <w:multiLevelType w:val="hybridMultilevel"/>
    <w:tmpl w:val="5CEC2E5A"/>
    <w:lvl w:ilvl="0" w:tplc="0409000F">
      <w:start w:val="1"/>
      <w:numFmt w:val="decimal"/>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0" w15:restartNumberingAfterBreak="0">
    <w:nsid w:val="39E121D9"/>
    <w:multiLevelType w:val="hybridMultilevel"/>
    <w:tmpl w:val="95B4C464"/>
    <w:lvl w:ilvl="0" w:tplc="D040B11C">
      <w:start w:val="1"/>
      <w:numFmt w:val="taiwaneseCountingThousand"/>
      <w:lvlText w:val="(%1)"/>
      <w:lvlJc w:val="left"/>
      <w:pPr>
        <w:ind w:left="3741" w:hanging="480"/>
      </w:pPr>
      <w:rPr>
        <w:rFonts w:asciiTheme="minorHAnsi" w:hAnsiTheme="minorHAnsi" w:cstheme="minorHAnsi" w:hint="default"/>
        <w:sz w:val="28"/>
      </w:rPr>
    </w:lvl>
    <w:lvl w:ilvl="1" w:tplc="DEA022D4">
      <w:start w:val="1"/>
      <w:numFmt w:val="taiwaneseCountingThousand"/>
      <w:lvlText w:val="(%2)"/>
      <w:lvlJc w:val="left"/>
      <w:pPr>
        <w:ind w:left="2739" w:hanging="460"/>
      </w:pPr>
      <w:rPr>
        <w:rFonts w:hint="default"/>
      </w:rPr>
    </w:lvl>
    <w:lvl w:ilvl="2" w:tplc="0409001B" w:tentative="1">
      <w:start w:val="1"/>
      <w:numFmt w:val="lowerRoman"/>
      <w:lvlText w:val="%3."/>
      <w:lvlJc w:val="right"/>
      <w:pPr>
        <w:ind w:left="3239" w:hanging="480"/>
      </w:pPr>
    </w:lvl>
    <w:lvl w:ilvl="3" w:tplc="0409000F" w:tentative="1">
      <w:start w:val="1"/>
      <w:numFmt w:val="decimal"/>
      <w:lvlText w:val="%4."/>
      <w:lvlJc w:val="left"/>
      <w:pPr>
        <w:ind w:left="3719" w:hanging="480"/>
      </w:pPr>
    </w:lvl>
    <w:lvl w:ilvl="4" w:tplc="04090019" w:tentative="1">
      <w:start w:val="1"/>
      <w:numFmt w:val="ideographTraditional"/>
      <w:lvlText w:val="%5、"/>
      <w:lvlJc w:val="left"/>
      <w:pPr>
        <w:ind w:left="4199" w:hanging="480"/>
      </w:pPr>
    </w:lvl>
    <w:lvl w:ilvl="5" w:tplc="0409001B" w:tentative="1">
      <w:start w:val="1"/>
      <w:numFmt w:val="lowerRoman"/>
      <w:lvlText w:val="%6."/>
      <w:lvlJc w:val="right"/>
      <w:pPr>
        <w:ind w:left="4679" w:hanging="480"/>
      </w:pPr>
    </w:lvl>
    <w:lvl w:ilvl="6" w:tplc="0409000F" w:tentative="1">
      <w:start w:val="1"/>
      <w:numFmt w:val="decimal"/>
      <w:lvlText w:val="%7."/>
      <w:lvlJc w:val="left"/>
      <w:pPr>
        <w:ind w:left="5159" w:hanging="480"/>
      </w:pPr>
    </w:lvl>
    <w:lvl w:ilvl="7" w:tplc="04090019" w:tentative="1">
      <w:start w:val="1"/>
      <w:numFmt w:val="ideographTraditional"/>
      <w:lvlText w:val="%8、"/>
      <w:lvlJc w:val="left"/>
      <w:pPr>
        <w:ind w:left="5639" w:hanging="480"/>
      </w:pPr>
    </w:lvl>
    <w:lvl w:ilvl="8" w:tplc="0409001B" w:tentative="1">
      <w:start w:val="1"/>
      <w:numFmt w:val="lowerRoman"/>
      <w:lvlText w:val="%9."/>
      <w:lvlJc w:val="right"/>
      <w:pPr>
        <w:ind w:left="6119" w:hanging="480"/>
      </w:pPr>
    </w:lvl>
  </w:abstractNum>
  <w:abstractNum w:abstractNumId="11" w15:restartNumberingAfterBreak="0">
    <w:nsid w:val="420B5324"/>
    <w:multiLevelType w:val="hybridMultilevel"/>
    <w:tmpl w:val="B7F24398"/>
    <w:lvl w:ilvl="0" w:tplc="E89E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770A6F"/>
    <w:multiLevelType w:val="hybridMultilevel"/>
    <w:tmpl w:val="394A31D0"/>
    <w:lvl w:ilvl="0" w:tplc="C1B6E3C2">
      <w:start w:val="1"/>
      <w:numFmt w:val="taiwaneseCountingThousand"/>
      <w:lvlText w:val="(%1)"/>
      <w:lvlJc w:val="left"/>
      <w:pPr>
        <w:ind w:left="720" w:hanging="480"/>
      </w:pPr>
      <w:rPr>
        <w:rFonts w:hint="default"/>
      </w:rPr>
    </w:lvl>
    <w:lvl w:ilvl="1" w:tplc="DEA022D4">
      <w:start w:val="1"/>
      <w:numFmt w:val="taiwaneseCountingThousand"/>
      <w:lvlText w:val="(%2)"/>
      <w:lvlJc w:val="left"/>
      <w:pPr>
        <w:ind w:left="1180" w:hanging="4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96973FA"/>
    <w:multiLevelType w:val="hybridMultilevel"/>
    <w:tmpl w:val="6AD4A798"/>
    <w:lvl w:ilvl="0" w:tplc="EC1EE62A">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4" w15:restartNumberingAfterBreak="0">
    <w:nsid w:val="545A3A9E"/>
    <w:multiLevelType w:val="hybridMultilevel"/>
    <w:tmpl w:val="6CCC5F2A"/>
    <w:lvl w:ilvl="0" w:tplc="CF6026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7"/>
  </w:num>
  <w:num w:numId="4">
    <w:abstractNumId w:val="6"/>
  </w:num>
  <w:num w:numId="5">
    <w:abstractNumId w:val="9"/>
  </w:num>
  <w:num w:numId="6">
    <w:abstractNumId w:val="13"/>
  </w:num>
  <w:num w:numId="7">
    <w:abstractNumId w:val="8"/>
  </w:num>
  <w:num w:numId="8">
    <w:abstractNumId w:val="12"/>
  </w:num>
  <w:num w:numId="9">
    <w:abstractNumId w:val="0"/>
  </w:num>
  <w:num w:numId="10">
    <w:abstractNumId w:val="3"/>
  </w:num>
  <w:num w:numId="11">
    <w:abstractNumId w:val="11"/>
  </w:num>
  <w:num w:numId="12">
    <w:abstractNumId w:val="1"/>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E9"/>
    <w:rsid w:val="000360C3"/>
    <w:rsid w:val="000B367C"/>
    <w:rsid w:val="000D5D97"/>
    <w:rsid w:val="001020C2"/>
    <w:rsid w:val="0012154A"/>
    <w:rsid w:val="00162D51"/>
    <w:rsid w:val="001D2B76"/>
    <w:rsid w:val="001D773E"/>
    <w:rsid w:val="001E2CE1"/>
    <w:rsid w:val="001F5F9C"/>
    <w:rsid w:val="001F7303"/>
    <w:rsid w:val="00211CB1"/>
    <w:rsid w:val="00280209"/>
    <w:rsid w:val="00324F92"/>
    <w:rsid w:val="00325B0C"/>
    <w:rsid w:val="00345E27"/>
    <w:rsid w:val="00380694"/>
    <w:rsid w:val="00381D2A"/>
    <w:rsid w:val="003874E9"/>
    <w:rsid w:val="003E48FE"/>
    <w:rsid w:val="0040239D"/>
    <w:rsid w:val="00436546"/>
    <w:rsid w:val="004431CA"/>
    <w:rsid w:val="00476CFB"/>
    <w:rsid w:val="004928F9"/>
    <w:rsid w:val="0051248A"/>
    <w:rsid w:val="00565349"/>
    <w:rsid w:val="005C48DB"/>
    <w:rsid w:val="005D6310"/>
    <w:rsid w:val="00606DE0"/>
    <w:rsid w:val="006104D2"/>
    <w:rsid w:val="00616879"/>
    <w:rsid w:val="006436A6"/>
    <w:rsid w:val="00674ABD"/>
    <w:rsid w:val="00674D44"/>
    <w:rsid w:val="0068736A"/>
    <w:rsid w:val="006B372A"/>
    <w:rsid w:val="006C7DE7"/>
    <w:rsid w:val="00756E9A"/>
    <w:rsid w:val="007768F1"/>
    <w:rsid w:val="00780338"/>
    <w:rsid w:val="00792847"/>
    <w:rsid w:val="00794707"/>
    <w:rsid w:val="007C7376"/>
    <w:rsid w:val="008005A9"/>
    <w:rsid w:val="00810CDB"/>
    <w:rsid w:val="008116A4"/>
    <w:rsid w:val="008278A4"/>
    <w:rsid w:val="008401D8"/>
    <w:rsid w:val="00847FC0"/>
    <w:rsid w:val="00860B0E"/>
    <w:rsid w:val="00895DA1"/>
    <w:rsid w:val="008C29FF"/>
    <w:rsid w:val="00975DAA"/>
    <w:rsid w:val="009B4FCA"/>
    <w:rsid w:val="009C6F00"/>
    <w:rsid w:val="00A039FC"/>
    <w:rsid w:val="00A06B58"/>
    <w:rsid w:val="00A30AD8"/>
    <w:rsid w:val="00A51D82"/>
    <w:rsid w:val="00A651FC"/>
    <w:rsid w:val="00A706B7"/>
    <w:rsid w:val="00AC453F"/>
    <w:rsid w:val="00B029C4"/>
    <w:rsid w:val="00B0590D"/>
    <w:rsid w:val="00B4235F"/>
    <w:rsid w:val="00B65274"/>
    <w:rsid w:val="00B81C53"/>
    <w:rsid w:val="00B91E17"/>
    <w:rsid w:val="00B933BA"/>
    <w:rsid w:val="00B96F6D"/>
    <w:rsid w:val="00BA0BCF"/>
    <w:rsid w:val="00BA6820"/>
    <w:rsid w:val="00BD5370"/>
    <w:rsid w:val="00BE3D5E"/>
    <w:rsid w:val="00BF1248"/>
    <w:rsid w:val="00C15EE2"/>
    <w:rsid w:val="00C26C51"/>
    <w:rsid w:val="00CC4142"/>
    <w:rsid w:val="00CF4E0A"/>
    <w:rsid w:val="00D26971"/>
    <w:rsid w:val="00D26FCD"/>
    <w:rsid w:val="00D346F6"/>
    <w:rsid w:val="00D82532"/>
    <w:rsid w:val="00DC3117"/>
    <w:rsid w:val="00E47242"/>
    <w:rsid w:val="00E5729E"/>
    <w:rsid w:val="00E61313"/>
    <w:rsid w:val="00E62CA0"/>
    <w:rsid w:val="00E874AC"/>
    <w:rsid w:val="00E9686F"/>
    <w:rsid w:val="00EC640A"/>
    <w:rsid w:val="00ED539D"/>
    <w:rsid w:val="00EE4AAA"/>
    <w:rsid w:val="00F20FF8"/>
    <w:rsid w:val="00FE5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44AB4-CF02-4741-A5FD-3B105A80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0C3"/>
    <w:pPr>
      <w:ind w:leftChars="200" w:left="480"/>
    </w:pPr>
  </w:style>
  <w:style w:type="paragraph" w:styleId="a4">
    <w:name w:val="footnote text"/>
    <w:basedOn w:val="a"/>
    <w:link w:val="a5"/>
    <w:uiPriority w:val="99"/>
    <w:rsid w:val="00E47242"/>
    <w:pPr>
      <w:snapToGrid w:val="0"/>
    </w:pPr>
    <w:rPr>
      <w:rFonts w:ascii="Times New Roman" w:eastAsia="新細明體" w:hAnsi="Times New Roman" w:cs="Times New Roman"/>
      <w:sz w:val="20"/>
      <w:szCs w:val="20"/>
    </w:rPr>
  </w:style>
  <w:style w:type="character" w:customStyle="1" w:styleId="a5">
    <w:name w:val="註腳文字 字元"/>
    <w:basedOn w:val="a0"/>
    <w:link w:val="a4"/>
    <w:uiPriority w:val="99"/>
    <w:rsid w:val="00E47242"/>
    <w:rPr>
      <w:rFonts w:ascii="Times New Roman" w:eastAsia="新細明體" w:hAnsi="Times New Roman" w:cs="Times New Roman"/>
      <w:sz w:val="20"/>
      <w:szCs w:val="20"/>
    </w:rPr>
  </w:style>
  <w:style w:type="character" w:styleId="a6">
    <w:name w:val="footnote reference"/>
    <w:uiPriority w:val="99"/>
    <w:rsid w:val="00E47242"/>
    <w:rPr>
      <w:vertAlign w:val="superscript"/>
    </w:rPr>
  </w:style>
  <w:style w:type="paragraph" w:styleId="a7">
    <w:name w:val="caption"/>
    <w:basedOn w:val="a"/>
    <w:next w:val="a"/>
    <w:uiPriority w:val="99"/>
    <w:qFormat/>
    <w:rsid w:val="008278A4"/>
    <w:rPr>
      <w:rFonts w:ascii="Calibri" w:eastAsia="新細明體" w:hAnsi="Calibri" w:cs="Times New Roman"/>
      <w:sz w:val="20"/>
      <w:szCs w:val="20"/>
    </w:rPr>
  </w:style>
  <w:style w:type="character" w:styleId="a8">
    <w:name w:val="Hyperlink"/>
    <w:basedOn w:val="a0"/>
    <w:uiPriority w:val="99"/>
    <w:unhideWhenUsed/>
    <w:rsid w:val="00DC3117"/>
    <w:rPr>
      <w:color w:val="0563C1" w:themeColor="hyperlink"/>
      <w:u w:val="single"/>
    </w:rPr>
  </w:style>
  <w:style w:type="paragraph" w:styleId="a9">
    <w:name w:val="header"/>
    <w:basedOn w:val="a"/>
    <w:link w:val="aa"/>
    <w:uiPriority w:val="99"/>
    <w:unhideWhenUsed/>
    <w:rsid w:val="00847FC0"/>
    <w:pPr>
      <w:tabs>
        <w:tab w:val="center" w:pos="4153"/>
        <w:tab w:val="right" w:pos="8306"/>
      </w:tabs>
      <w:snapToGrid w:val="0"/>
    </w:pPr>
    <w:rPr>
      <w:sz w:val="20"/>
      <w:szCs w:val="20"/>
    </w:rPr>
  </w:style>
  <w:style w:type="character" w:customStyle="1" w:styleId="aa">
    <w:name w:val="頁首 字元"/>
    <w:basedOn w:val="a0"/>
    <w:link w:val="a9"/>
    <w:uiPriority w:val="99"/>
    <w:rsid w:val="00847FC0"/>
    <w:rPr>
      <w:sz w:val="20"/>
      <w:szCs w:val="20"/>
    </w:rPr>
  </w:style>
  <w:style w:type="paragraph" w:styleId="ab">
    <w:name w:val="footer"/>
    <w:basedOn w:val="a"/>
    <w:link w:val="ac"/>
    <w:uiPriority w:val="99"/>
    <w:unhideWhenUsed/>
    <w:rsid w:val="00847FC0"/>
    <w:pPr>
      <w:tabs>
        <w:tab w:val="center" w:pos="4153"/>
        <w:tab w:val="right" w:pos="8306"/>
      </w:tabs>
      <w:snapToGrid w:val="0"/>
    </w:pPr>
    <w:rPr>
      <w:sz w:val="20"/>
      <w:szCs w:val="20"/>
    </w:rPr>
  </w:style>
  <w:style w:type="character" w:customStyle="1" w:styleId="ac">
    <w:name w:val="頁尾 字元"/>
    <w:basedOn w:val="a0"/>
    <w:link w:val="ab"/>
    <w:uiPriority w:val="99"/>
    <w:rsid w:val="00847FC0"/>
    <w:rPr>
      <w:sz w:val="20"/>
      <w:szCs w:val="20"/>
    </w:rPr>
  </w:style>
  <w:style w:type="paragraph" w:styleId="ad">
    <w:name w:val="Balloon Text"/>
    <w:basedOn w:val="a"/>
    <w:link w:val="ae"/>
    <w:uiPriority w:val="99"/>
    <w:semiHidden/>
    <w:unhideWhenUsed/>
    <w:rsid w:val="008401D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40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smartcity.energypark.org.tw/)&#20844;&#24067;&#29554;&#29518;&#21517;&#21934;" TargetMode="External"/><Relationship Id="rId3" Type="http://schemas.openxmlformats.org/officeDocument/2006/relationships/settings" Target="settings.xml"/><Relationship Id="rId7" Type="http://schemas.openxmlformats.org/officeDocument/2006/relationships/hyperlink" Target="http://www.taipower.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1300</Characters>
  <Application>Microsoft Office Word</Application>
  <DocSecurity>0</DocSecurity>
  <Lines>10</Lines>
  <Paragraphs>3</Paragraphs>
  <ScaleCrop>false</ScaleCrop>
  <Company>Ministry of Economic Affairs,R.O.C.</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又萱 廖</dc:creator>
  <cp:lastModifiedBy>Windows 使用者</cp:lastModifiedBy>
  <cp:revision>2</cp:revision>
  <cp:lastPrinted>2018-07-16T06:36:00Z</cp:lastPrinted>
  <dcterms:created xsi:type="dcterms:W3CDTF">2018-07-16T08:48:00Z</dcterms:created>
  <dcterms:modified xsi:type="dcterms:W3CDTF">2018-07-16T08:48:00Z</dcterms:modified>
</cp:coreProperties>
</file>