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0627C">
      <w:pPr>
        <w:jc w:val="both"/>
        <w:rPr>
          <w:rFonts w:ascii="標楷體" w:eastAsia="標楷體" w:hint="eastAsia"/>
          <w:b/>
          <w:bCs/>
          <w:sz w:val="40"/>
        </w:rPr>
      </w:pPr>
      <w:bookmarkStart w:id="0" w:name="_GoBack"/>
      <w:bookmarkEnd w:id="0"/>
      <w:r>
        <w:rPr>
          <w:rFonts w:ascii="標楷體" w:eastAsia="標楷體" w:hint="eastAsia"/>
          <w:b/>
          <w:bCs/>
          <w:sz w:val="40"/>
        </w:rPr>
        <w:t>金門縣公有畸零地合併使用證明書核發基準</w:t>
      </w:r>
    </w:p>
    <w:p w:rsidR="00000000" w:rsidRDefault="0030627C">
      <w:pPr>
        <w:jc w:val="both"/>
        <w:rPr>
          <w:rFonts w:ascii="標楷體" w:eastAsia="標楷體" w:hint="eastAsia"/>
          <w:sz w:val="32"/>
        </w:rPr>
      </w:pPr>
      <w:r>
        <w:rPr>
          <w:rFonts w:ascii="標楷體" w:eastAsia="標楷體" w:hint="eastAsia"/>
          <w:sz w:val="32"/>
        </w:rPr>
        <w:t>一、本基準依金門縣畸零地使用自治條例</w:t>
      </w:r>
      <w:r>
        <w:rPr>
          <w:rFonts w:ascii="標楷體" w:eastAsia="標楷體" w:hint="eastAsia"/>
          <w:sz w:val="32"/>
        </w:rPr>
        <w:t>(</w:t>
      </w:r>
      <w:r>
        <w:rPr>
          <w:rFonts w:ascii="標楷體" w:eastAsia="標楷體" w:hint="eastAsia"/>
          <w:sz w:val="32"/>
        </w:rPr>
        <w:t>以下簡稱本自治條例</w:t>
      </w:r>
      <w:r>
        <w:rPr>
          <w:rFonts w:ascii="標楷體" w:eastAsia="標楷體" w:hint="eastAsia"/>
          <w:sz w:val="32"/>
        </w:rPr>
        <w:t>)</w:t>
      </w:r>
      <w:r>
        <w:rPr>
          <w:rFonts w:ascii="標楷體" w:eastAsia="標楷體" w:hint="eastAsia"/>
          <w:sz w:val="32"/>
        </w:rPr>
        <w:t>第十五條第二項規定訂定之</w:t>
      </w:r>
      <w:r>
        <w:rPr>
          <w:rFonts w:ascii="標楷體" w:eastAsia="標楷體"/>
          <w:sz w:val="32"/>
        </w:rPr>
        <w:t>。</w:t>
      </w:r>
    </w:p>
    <w:p w:rsidR="00000000" w:rsidRDefault="0030627C">
      <w:pPr>
        <w:pStyle w:val="2"/>
        <w:wordWrap/>
        <w:spacing w:beforeLines="50" w:before="180"/>
        <w:ind w:left="538" w:hangingChars="168" w:hanging="538"/>
        <w:jc w:val="both"/>
        <w:rPr>
          <w:rFonts w:hint="eastAsia"/>
          <w:sz w:val="32"/>
        </w:rPr>
      </w:pPr>
      <w:r>
        <w:rPr>
          <w:rFonts w:hint="eastAsia"/>
          <w:sz w:val="32"/>
        </w:rPr>
        <w:t>二、私有土地合於下列各款情形之一者，其土地所有權人得申請核發公有畸零地合併使用證明書（以下簡稱本證明書）：</w:t>
      </w:r>
    </w:p>
    <w:p w:rsidR="00000000" w:rsidRDefault="0030627C">
      <w:pPr>
        <w:pStyle w:val="2"/>
        <w:wordWrap/>
        <w:spacing w:beforeLines="50" w:before="180"/>
        <w:ind w:leftChars="225" w:left="540" w:firstLine="0"/>
        <w:jc w:val="both"/>
        <w:rPr>
          <w:rFonts w:hint="eastAsia"/>
          <w:sz w:val="32"/>
        </w:rPr>
      </w:pPr>
      <w:r>
        <w:rPr>
          <w:rFonts w:hint="eastAsia"/>
          <w:sz w:val="32"/>
        </w:rPr>
        <w:t>（一）、相鄰之私有土地與公有土地均屬畸零地，非合併無法建築使用者。</w:t>
      </w:r>
    </w:p>
    <w:p w:rsidR="00000000" w:rsidRDefault="0030627C">
      <w:pPr>
        <w:pStyle w:val="2"/>
        <w:wordWrap/>
        <w:spacing w:beforeLines="50" w:before="180"/>
        <w:ind w:leftChars="225" w:left="540" w:firstLine="0"/>
        <w:jc w:val="both"/>
        <w:rPr>
          <w:rFonts w:hint="eastAsia"/>
          <w:sz w:val="32"/>
        </w:rPr>
      </w:pPr>
      <w:r>
        <w:rPr>
          <w:rFonts w:hint="eastAsia"/>
          <w:sz w:val="32"/>
        </w:rPr>
        <w:t>（二）、公有土地屬畸零地，非與其相鄰之私有土地合併無法建築使用者。</w:t>
      </w:r>
    </w:p>
    <w:p w:rsidR="00000000" w:rsidRDefault="0030627C">
      <w:pPr>
        <w:pStyle w:val="2"/>
        <w:wordWrap/>
        <w:spacing w:beforeLines="50" w:before="180"/>
        <w:ind w:leftChars="225" w:left="540" w:firstLine="0"/>
        <w:jc w:val="both"/>
        <w:rPr>
          <w:rFonts w:hint="eastAsia"/>
          <w:sz w:val="32"/>
        </w:rPr>
      </w:pPr>
      <w:r>
        <w:rPr>
          <w:rFonts w:hint="eastAsia"/>
          <w:sz w:val="32"/>
        </w:rPr>
        <w:t>（三）、私有土地屬畸零地，非與其相鄰之公有土地合併無法建築使用者。</w:t>
      </w:r>
    </w:p>
    <w:p w:rsidR="00000000" w:rsidRDefault="0030627C">
      <w:pPr>
        <w:jc w:val="both"/>
        <w:rPr>
          <w:rFonts w:ascii="標楷體" w:eastAsia="標楷體" w:hint="eastAsia"/>
          <w:sz w:val="32"/>
        </w:rPr>
      </w:pPr>
      <w:r>
        <w:rPr>
          <w:rFonts w:ascii="標楷體" w:eastAsia="標楷體" w:hint="eastAsia"/>
          <w:sz w:val="32"/>
        </w:rPr>
        <w:t>三、私有土地如與申請之公有土地合併後，仍無法單獨建築使用者，不得發給本證明</w:t>
      </w:r>
      <w:r>
        <w:rPr>
          <w:rFonts w:ascii="標楷體" w:eastAsia="標楷體" w:hint="eastAsia"/>
          <w:sz w:val="32"/>
        </w:rPr>
        <w:t>書</w:t>
      </w:r>
      <w:r>
        <w:rPr>
          <w:rFonts w:ascii="標楷體" w:eastAsia="標楷體"/>
          <w:sz w:val="32"/>
        </w:rPr>
        <w:t>。</w:t>
      </w:r>
    </w:p>
    <w:p w:rsidR="00000000" w:rsidRDefault="0030627C">
      <w:pPr>
        <w:pStyle w:val="2"/>
        <w:wordWrap/>
        <w:spacing w:beforeLines="50" w:before="180"/>
        <w:ind w:left="540" w:hanging="540"/>
        <w:jc w:val="both"/>
        <w:rPr>
          <w:rFonts w:hint="eastAsia"/>
          <w:sz w:val="32"/>
        </w:rPr>
      </w:pPr>
      <w:r>
        <w:rPr>
          <w:rFonts w:hint="eastAsia"/>
          <w:sz w:val="32"/>
        </w:rPr>
        <w:t>四、申請合併之公有畸零地如已建築完成者，不發給本證明書，但有下列情形者不在此限：</w:t>
      </w:r>
    </w:p>
    <w:p w:rsidR="00000000" w:rsidRDefault="0030627C">
      <w:pPr>
        <w:pStyle w:val="2"/>
        <w:wordWrap/>
        <w:spacing w:beforeLines="50" w:before="180" w:line="240" w:lineRule="auto"/>
        <w:ind w:leftChars="234" w:left="1842" w:hangingChars="400" w:hanging="1280"/>
        <w:jc w:val="both"/>
        <w:rPr>
          <w:rFonts w:hint="eastAsia"/>
          <w:sz w:val="32"/>
        </w:rPr>
      </w:pPr>
      <w:r>
        <w:rPr>
          <w:rFonts w:hint="eastAsia"/>
          <w:sz w:val="32"/>
        </w:rPr>
        <w:t>（一）、領有建築許可證明已建築完成者為車棚、花棚、圍牆及其他類似構造之簡易工作物或違建建築或傾頹或朽壞之建築物。</w:t>
      </w:r>
    </w:p>
    <w:p w:rsidR="00000000" w:rsidRDefault="0030627C">
      <w:pPr>
        <w:pStyle w:val="2"/>
        <w:wordWrap/>
        <w:spacing w:beforeLines="50" w:before="180"/>
        <w:ind w:leftChars="224" w:left="538" w:firstLine="0"/>
        <w:jc w:val="both"/>
        <w:rPr>
          <w:rFonts w:ascii="標楷體" w:hint="eastAsia"/>
          <w:sz w:val="32"/>
        </w:rPr>
      </w:pPr>
      <w:r>
        <w:rPr>
          <w:rFonts w:ascii="標楷體" w:hint="eastAsia"/>
          <w:sz w:val="32"/>
        </w:rPr>
        <w:t>（二）、已建築完成之建築物為申請人所有者。</w:t>
      </w:r>
    </w:p>
    <w:p w:rsidR="00000000" w:rsidRDefault="0030627C">
      <w:pPr>
        <w:ind w:left="640" w:hangingChars="200" w:hanging="640"/>
        <w:jc w:val="both"/>
        <w:rPr>
          <w:rFonts w:ascii="標楷體" w:eastAsia="標楷體" w:hint="eastAsia"/>
          <w:sz w:val="32"/>
        </w:rPr>
      </w:pPr>
      <w:r>
        <w:rPr>
          <w:rFonts w:ascii="標楷體" w:eastAsia="標楷體" w:hint="eastAsia"/>
          <w:sz w:val="32"/>
        </w:rPr>
        <w:t>五、都市計劃公告後非與相鄰公有畸零地之一部分合併無法建築使用者，或私有土地非與相鄰公有地</w:t>
      </w:r>
      <w:r>
        <w:rPr>
          <w:rFonts w:ascii="標楷體" w:eastAsia="標楷體" w:hint="eastAsia"/>
          <w:sz w:val="32"/>
        </w:rPr>
        <w:lastRenderedPageBreak/>
        <w:t>之一部分合併無法符合本自治條例第二條至第七條規定之基地，得核發該部分之合併使用證明書</w:t>
      </w:r>
      <w:r>
        <w:rPr>
          <w:rFonts w:ascii="標楷體" w:eastAsia="標楷體"/>
          <w:sz w:val="32"/>
        </w:rPr>
        <w:t>。</w:t>
      </w:r>
    </w:p>
    <w:p w:rsidR="00000000" w:rsidRDefault="0030627C">
      <w:pPr>
        <w:ind w:left="640" w:hangingChars="200" w:hanging="640"/>
        <w:jc w:val="both"/>
        <w:rPr>
          <w:rFonts w:ascii="標楷體" w:eastAsia="標楷體" w:hint="eastAsia"/>
          <w:color w:val="000000"/>
          <w:sz w:val="32"/>
        </w:rPr>
      </w:pPr>
      <w:r>
        <w:rPr>
          <w:rFonts w:ascii="標楷體" w:eastAsia="標楷體" w:hint="eastAsia"/>
          <w:sz w:val="32"/>
        </w:rPr>
        <w:t>六、兩筆以上權屬不同之私有土地與相鄰公有畸零地合併後始得建築使用者，申請核發本證明書應檢具</w:t>
      </w:r>
      <w:r>
        <w:rPr>
          <w:rFonts w:ascii="標楷體" w:eastAsia="標楷體" w:hint="eastAsia"/>
          <w:sz w:val="32"/>
        </w:rPr>
        <w:t>各該私有土地所有權人同意合併使用之協議文件</w:t>
      </w:r>
      <w:r>
        <w:rPr>
          <w:rFonts w:ascii="標楷體" w:eastAsia="標楷體" w:hint="eastAsia"/>
          <w:color w:val="FF0000"/>
          <w:sz w:val="32"/>
        </w:rPr>
        <w:t>，不能協議者，以先行提出申請合併使用之私有土地優先辦理</w:t>
      </w:r>
      <w:r>
        <w:rPr>
          <w:rFonts w:ascii="標楷體" w:eastAsia="標楷體" w:hint="eastAsia"/>
          <w:color w:val="000000"/>
          <w:sz w:val="32"/>
        </w:rPr>
        <w:t>。</w:t>
      </w:r>
    </w:p>
    <w:p w:rsidR="00000000" w:rsidRDefault="0030627C">
      <w:pPr>
        <w:ind w:left="640" w:hangingChars="200" w:hanging="640"/>
        <w:jc w:val="both"/>
        <w:rPr>
          <w:rFonts w:ascii="標楷體" w:eastAsia="標楷體" w:hint="eastAsia"/>
          <w:color w:val="000000"/>
          <w:sz w:val="32"/>
        </w:rPr>
      </w:pPr>
      <w:r>
        <w:rPr>
          <w:rFonts w:ascii="標楷體" w:eastAsia="標楷體" w:hint="eastAsia"/>
          <w:sz w:val="32"/>
        </w:rPr>
        <w:t>七、公有畸零地兩側之私有地均非屬畸零地，而私有裡地申請將該公有畸零地作為基地內通路，如合併後該通路符合建築技術規則建築設計施工篇第二條之規定時，得發給本證明書</w:t>
      </w:r>
      <w:r>
        <w:rPr>
          <w:rFonts w:ascii="標楷體" w:eastAsia="標楷體" w:hint="eastAsia"/>
          <w:color w:val="000000"/>
          <w:sz w:val="32"/>
        </w:rPr>
        <w:t>。</w:t>
      </w:r>
    </w:p>
    <w:p w:rsidR="00000000" w:rsidRDefault="0030627C">
      <w:pPr>
        <w:ind w:left="640" w:hangingChars="200" w:hanging="640"/>
        <w:jc w:val="both"/>
        <w:rPr>
          <w:rFonts w:ascii="標楷體" w:eastAsia="標楷體" w:hint="eastAsia"/>
          <w:color w:val="000000"/>
          <w:sz w:val="32"/>
        </w:rPr>
      </w:pPr>
      <w:r>
        <w:rPr>
          <w:rFonts w:ascii="標楷體" w:eastAsia="標楷體" w:hint="eastAsia"/>
          <w:sz w:val="32"/>
        </w:rPr>
        <w:t>八、面臨現有巷道申請建築，因指定建築線退讓之基地，於巷道邊緣與建築線間夾有公有畸零地者，得申請核發本證明書</w:t>
      </w:r>
      <w:r>
        <w:rPr>
          <w:rFonts w:ascii="標楷體" w:eastAsia="標楷體" w:hint="eastAsia"/>
          <w:color w:val="000000"/>
          <w:sz w:val="32"/>
        </w:rPr>
        <w:t>。</w:t>
      </w:r>
    </w:p>
    <w:p w:rsidR="00000000" w:rsidRDefault="0030627C">
      <w:pPr>
        <w:ind w:left="640" w:hangingChars="200" w:hanging="640"/>
        <w:jc w:val="both"/>
        <w:rPr>
          <w:rFonts w:ascii="標楷體" w:eastAsia="標楷體" w:hint="eastAsia"/>
          <w:color w:val="000000"/>
          <w:sz w:val="32"/>
        </w:rPr>
      </w:pPr>
      <w:r>
        <w:rPr>
          <w:rFonts w:ascii="標楷體" w:eastAsia="標楷體" w:hint="eastAsia"/>
          <w:sz w:val="32"/>
        </w:rPr>
        <w:t>九、公有土地之界線與建築線斜交角度不滿六十度或超過一百二十度者，其鄰接之私有土地得就規定最小深度範圍內，將該公有地界夾角調整為六十度至九十度</w:t>
      </w:r>
      <w:r>
        <w:rPr>
          <w:rFonts w:ascii="標楷體" w:eastAsia="標楷體" w:hint="eastAsia"/>
          <w:sz w:val="32"/>
        </w:rPr>
        <w:t>或一百二十度至九十度間，申請與該角度調整後所夾公有土地合併使用</w:t>
      </w:r>
      <w:r>
        <w:rPr>
          <w:rFonts w:ascii="標楷體" w:eastAsia="標楷體" w:hint="eastAsia"/>
          <w:color w:val="000000"/>
          <w:sz w:val="32"/>
        </w:rPr>
        <w:t>。</w:t>
      </w:r>
    </w:p>
    <w:p w:rsidR="00000000" w:rsidRDefault="0030627C">
      <w:pPr>
        <w:ind w:left="640" w:hangingChars="200" w:hanging="640"/>
        <w:jc w:val="both"/>
        <w:rPr>
          <w:rFonts w:ascii="標楷體" w:eastAsia="標楷體" w:hint="eastAsia"/>
          <w:color w:val="000000"/>
          <w:sz w:val="32"/>
        </w:rPr>
      </w:pPr>
      <w:r>
        <w:rPr>
          <w:rFonts w:ascii="標楷體" w:eastAsia="標楷體" w:hint="eastAsia"/>
          <w:sz w:val="32"/>
        </w:rPr>
        <w:t>十、私有畸零地與公有土地合併使用達規定最小深度，所餘公有土地非合併使用無法建築，或公有裡地與相鄰唯一私有土地合併始能建築使用者，得發給本證明書，唯應在證明書中註明合併理由，並於附圖中另以不同圖例表示</w:t>
      </w:r>
      <w:r>
        <w:rPr>
          <w:rFonts w:ascii="標楷體" w:eastAsia="標楷體" w:hint="eastAsia"/>
          <w:color w:val="000000"/>
          <w:sz w:val="32"/>
        </w:rPr>
        <w:t>。</w:t>
      </w:r>
    </w:p>
    <w:p w:rsidR="00000000" w:rsidRDefault="0030627C">
      <w:pPr>
        <w:ind w:left="640" w:hangingChars="200" w:hanging="640"/>
        <w:jc w:val="both"/>
        <w:rPr>
          <w:rFonts w:ascii="標楷體" w:eastAsia="標楷體" w:hint="eastAsia"/>
          <w:color w:val="000000"/>
          <w:sz w:val="32"/>
        </w:rPr>
      </w:pPr>
      <w:r>
        <w:rPr>
          <w:rFonts w:ascii="標楷體" w:eastAsia="標楷體" w:hint="eastAsia"/>
          <w:sz w:val="32"/>
        </w:rPr>
        <w:t>十一、其他經金門縣政府（以下簡稱本府）認為可促進土地合理使用，經提本府畸零地調處委員會認可者，得發給本證明書</w:t>
      </w:r>
      <w:r>
        <w:rPr>
          <w:rFonts w:ascii="標楷體" w:eastAsia="標楷體" w:hint="eastAsia"/>
          <w:color w:val="000000"/>
          <w:sz w:val="32"/>
        </w:rPr>
        <w:t>。</w:t>
      </w:r>
    </w:p>
    <w:p w:rsidR="00000000" w:rsidRDefault="0030627C">
      <w:pPr>
        <w:pStyle w:val="2"/>
        <w:wordWrap/>
        <w:spacing w:beforeLines="50" w:before="180"/>
        <w:jc w:val="both"/>
        <w:rPr>
          <w:rFonts w:hint="eastAsia"/>
          <w:sz w:val="32"/>
        </w:rPr>
      </w:pPr>
      <w:r>
        <w:rPr>
          <w:rFonts w:hint="eastAsia"/>
          <w:sz w:val="32"/>
        </w:rPr>
        <w:t>十二、申請核發本證明書，應檢具下列書件，向本府申請：</w:t>
      </w:r>
    </w:p>
    <w:p w:rsidR="00000000" w:rsidRDefault="0030627C">
      <w:pPr>
        <w:pStyle w:val="2"/>
        <w:wordWrap/>
        <w:spacing w:beforeLines="50" w:before="180"/>
        <w:ind w:leftChars="234" w:left="1205" w:hangingChars="201" w:hanging="643"/>
        <w:jc w:val="both"/>
        <w:rPr>
          <w:rFonts w:hint="eastAsia"/>
          <w:sz w:val="32"/>
        </w:rPr>
      </w:pPr>
      <w:r>
        <w:rPr>
          <w:rFonts w:hint="eastAsia"/>
          <w:sz w:val="32"/>
        </w:rPr>
        <w:t>（一）、申請書三份。（附表一）</w:t>
      </w:r>
    </w:p>
    <w:p w:rsidR="00000000" w:rsidRDefault="0030627C">
      <w:pPr>
        <w:pStyle w:val="2"/>
        <w:wordWrap/>
        <w:spacing w:beforeLines="50" w:before="180"/>
        <w:ind w:leftChars="234" w:left="1205" w:hangingChars="201" w:hanging="643"/>
        <w:jc w:val="both"/>
        <w:rPr>
          <w:rFonts w:hint="eastAsia"/>
          <w:sz w:val="32"/>
        </w:rPr>
      </w:pPr>
      <w:r>
        <w:rPr>
          <w:rFonts w:hint="eastAsia"/>
          <w:sz w:val="32"/>
        </w:rPr>
        <w:t>（二）、建築線指示圖。</w:t>
      </w:r>
    </w:p>
    <w:p w:rsidR="00000000" w:rsidRDefault="0030627C">
      <w:pPr>
        <w:pStyle w:val="2"/>
        <w:wordWrap/>
        <w:spacing w:beforeLines="50" w:before="180"/>
        <w:ind w:leftChars="234" w:left="1205" w:hangingChars="201" w:hanging="643"/>
        <w:jc w:val="both"/>
        <w:rPr>
          <w:rFonts w:hint="eastAsia"/>
          <w:color w:val="FF0000"/>
          <w:sz w:val="32"/>
        </w:rPr>
      </w:pPr>
      <w:r>
        <w:rPr>
          <w:rFonts w:hint="eastAsia"/>
          <w:sz w:val="32"/>
        </w:rPr>
        <w:t>（三）、</w:t>
      </w:r>
      <w:r>
        <w:rPr>
          <w:rFonts w:hint="eastAsia"/>
          <w:color w:val="FF0000"/>
          <w:sz w:val="32"/>
        </w:rPr>
        <w:t>土地使用分區證</w:t>
      </w:r>
      <w:r>
        <w:rPr>
          <w:rFonts w:hint="eastAsia"/>
          <w:color w:val="FF0000"/>
          <w:sz w:val="32"/>
        </w:rPr>
        <w:t>明或使用地別。</w:t>
      </w:r>
    </w:p>
    <w:p w:rsidR="00000000" w:rsidRDefault="0030627C">
      <w:pPr>
        <w:pStyle w:val="2"/>
        <w:wordWrap/>
        <w:spacing w:beforeLines="50" w:before="180"/>
        <w:ind w:leftChars="234" w:left="1205" w:hangingChars="201" w:hanging="643"/>
        <w:jc w:val="both"/>
        <w:rPr>
          <w:rFonts w:hint="eastAsia"/>
          <w:sz w:val="32"/>
        </w:rPr>
      </w:pPr>
      <w:r>
        <w:rPr>
          <w:rFonts w:hint="eastAsia"/>
          <w:sz w:val="32"/>
        </w:rPr>
        <w:t>（四）、合併使用土地之土地登記簿謄本、地籍圖謄本各一份。</w:t>
      </w:r>
    </w:p>
    <w:p w:rsidR="00000000" w:rsidRDefault="0030627C">
      <w:pPr>
        <w:pStyle w:val="2"/>
        <w:wordWrap/>
        <w:spacing w:beforeLines="50" w:before="180"/>
        <w:ind w:leftChars="234" w:left="1205" w:hangingChars="201" w:hanging="643"/>
        <w:jc w:val="both"/>
        <w:rPr>
          <w:rFonts w:ascii="標楷體" w:hint="eastAsia"/>
          <w:sz w:val="32"/>
        </w:rPr>
      </w:pPr>
      <w:r>
        <w:rPr>
          <w:rFonts w:ascii="標楷體" w:hint="eastAsia"/>
          <w:sz w:val="32"/>
        </w:rPr>
        <w:t>（五）、申請合併使用範圍圖三份。</w:t>
      </w:r>
    </w:p>
    <w:p w:rsidR="00000000" w:rsidRDefault="0030627C">
      <w:pPr>
        <w:pStyle w:val="2"/>
        <w:wordWrap/>
        <w:spacing w:beforeLines="50" w:before="180"/>
        <w:jc w:val="both"/>
        <w:rPr>
          <w:rFonts w:hint="eastAsia"/>
          <w:sz w:val="32"/>
        </w:rPr>
      </w:pPr>
      <w:r>
        <w:rPr>
          <w:rFonts w:hint="eastAsia"/>
          <w:sz w:val="32"/>
        </w:rPr>
        <w:t>十三、本證明書（附表二）應附圖註明下列事項：</w:t>
      </w:r>
    </w:p>
    <w:p w:rsidR="00000000" w:rsidRDefault="0030627C">
      <w:pPr>
        <w:pStyle w:val="2"/>
        <w:wordWrap/>
        <w:spacing w:beforeLines="50" w:before="180"/>
        <w:ind w:leftChars="234" w:left="1205" w:hangingChars="201" w:hanging="643"/>
        <w:jc w:val="both"/>
        <w:rPr>
          <w:rFonts w:hint="eastAsia"/>
          <w:sz w:val="32"/>
        </w:rPr>
      </w:pPr>
      <w:r>
        <w:rPr>
          <w:rFonts w:hint="eastAsia"/>
          <w:sz w:val="32"/>
        </w:rPr>
        <w:t>（一）、建築線。</w:t>
      </w:r>
    </w:p>
    <w:p w:rsidR="00000000" w:rsidRDefault="0030627C">
      <w:pPr>
        <w:pStyle w:val="2"/>
        <w:wordWrap/>
        <w:spacing w:beforeLines="50" w:before="180"/>
        <w:ind w:leftChars="234" w:left="1205" w:hangingChars="201" w:hanging="643"/>
        <w:jc w:val="both"/>
        <w:rPr>
          <w:rFonts w:hint="eastAsia"/>
          <w:sz w:val="32"/>
        </w:rPr>
      </w:pPr>
      <w:r>
        <w:rPr>
          <w:rFonts w:hint="eastAsia"/>
          <w:sz w:val="32"/>
        </w:rPr>
        <w:t>（二）、基地及其鄰地之土地標示。</w:t>
      </w:r>
    </w:p>
    <w:p w:rsidR="00000000" w:rsidRDefault="0030627C">
      <w:pPr>
        <w:pStyle w:val="2"/>
        <w:wordWrap/>
        <w:spacing w:beforeLines="50" w:before="180"/>
        <w:ind w:leftChars="234" w:left="1205" w:hangingChars="201" w:hanging="643"/>
        <w:jc w:val="both"/>
        <w:rPr>
          <w:rFonts w:hint="eastAsia"/>
          <w:sz w:val="32"/>
        </w:rPr>
      </w:pPr>
      <w:r>
        <w:rPr>
          <w:rFonts w:hint="eastAsia"/>
          <w:sz w:val="32"/>
        </w:rPr>
        <w:t>（三）、土地使用分區或使用地別。</w:t>
      </w:r>
    </w:p>
    <w:p w:rsidR="00000000" w:rsidRDefault="0030627C">
      <w:pPr>
        <w:pStyle w:val="2"/>
        <w:wordWrap/>
        <w:spacing w:beforeLines="50" w:before="180"/>
        <w:ind w:leftChars="234" w:left="1205" w:hangingChars="201" w:hanging="643"/>
        <w:jc w:val="both"/>
        <w:rPr>
          <w:rFonts w:hint="eastAsia"/>
          <w:sz w:val="32"/>
        </w:rPr>
      </w:pPr>
      <w:r>
        <w:rPr>
          <w:rFonts w:hint="eastAsia"/>
          <w:sz w:val="32"/>
        </w:rPr>
        <w:t>（四）、道路寬度及其境界線。</w:t>
      </w:r>
    </w:p>
    <w:p w:rsidR="00000000" w:rsidRDefault="0030627C">
      <w:pPr>
        <w:pStyle w:val="2"/>
        <w:wordWrap/>
        <w:spacing w:beforeLines="50" w:before="180"/>
        <w:ind w:leftChars="234" w:left="1205" w:hangingChars="201" w:hanging="643"/>
        <w:jc w:val="both"/>
        <w:rPr>
          <w:rFonts w:hint="eastAsia"/>
          <w:sz w:val="32"/>
        </w:rPr>
      </w:pPr>
      <w:r>
        <w:rPr>
          <w:rFonts w:hint="eastAsia"/>
          <w:sz w:val="32"/>
        </w:rPr>
        <w:t>（五）、規定最小寬度、最小深度。</w:t>
      </w:r>
    </w:p>
    <w:p w:rsidR="00000000" w:rsidRDefault="0030627C">
      <w:pPr>
        <w:pStyle w:val="2"/>
        <w:wordWrap/>
        <w:spacing w:beforeLines="50" w:before="180"/>
        <w:ind w:leftChars="234" w:left="1205" w:hangingChars="201" w:hanging="643"/>
        <w:jc w:val="both"/>
        <w:rPr>
          <w:rFonts w:hint="eastAsia"/>
          <w:sz w:val="32"/>
        </w:rPr>
      </w:pPr>
      <w:r>
        <w:rPr>
          <w:rFonts w:hint="eastAsia"/>
          <w:sz w:val="32"/>
        </w:rPr>
        <w:t>（六）、合併使用範圍。</w:t>
      </w:r>
    </w:p>
    <w:p w:rsidR="00000000" w:rsidRDefault="0030627C">
      <w:pPr>
        <w:pStyle w:val="2"/>
        <w:wordWrap/>
        <w:spacing w:beforeLines="50" w:before="180"/>
        <w:ind w:leftChars="234" w:left="1205" w:hangingChars="201" w:hanging="643"/>
        <w:jc w:val="both"/>
        <w:rPr>
          <w:rFonts w:hint="eastAsia"/>
          <w:sz w:val="32"/>
        </w:rPr>
      </w:pPr>
      <w:r>
        <w:rPr>
          <w:rFonts w:hint="eastAsia"/>
          <w:sz w:val="32"/>
        </w:rPr>
        <w:t>（七）、騎樓地或應留設之前、後側院或其他必要事項。</w:t>
      </w:r>
    </w:p>
    <w:p w:rsidR="00000000" w:rsidRDefault="0030627C">
      <w:pPr>
        <w:ind w:left="640" w:hangingChars="200" w:hanging="640"/>
        <w:jc w:val="both"/>
        <w:rPr>
          <w:rFonts w:ascii="標楷體" w:eastAsia="標楷體" w:hint="eastAsia"/>
          <w:color w:val="000000"/>
          <w:sz w:val="32"/>
        </w:rPr>
      </w:pPr>
      <w:r>
        <w:rPr>
          <w:rFonts w:ascii="標楷體" w:eastAsia="標楷體" w:hint="eastAsia"/>
          <w:sz w:val="32"/>
        </w:rPr>
        <w:t>十四、本府受理申請核發本證明書時，應於收到申請書之日起十日內審查完竣，其符合規定者發給證明，不合規定者列舉理由通知申請人。需會同有關</w:t>
      </w:r>
      <w:r>
        <w:rPr>
          <w:rFonts w:ascii="標楷體" w:eastAsia="標楷體" w:hint="eastAsia"/>
          <w:sz w:val="32"/>
        </w:rPr>
        <w:t>單位現地勘查者，前項審查期限延長為二十日</w:t>
      </w:r>
      <w:r>
        <w:rPr>
          <w:rFonts w:ascii="標楷體" w:eastAsia="標楷體" w:hint="eastAsia"/>
          <w:color w:val="000000"/>
          <w:sz w:val="32"/>
        </w:rPr>
        <w:t>。</w:t>
      </w:r>
    </w:p>
    <w:p w:rsidR="00000000" w:rsidRDefault="0030627C">
      <w:pPr>
        <w:pStyle w:val="2"/>
        <w:wordWrap/>
        <w:spacing w:beforeLines="50" w:before="180" w:afterLines="50" w:after="180"/>
        <w:ind w:left="1232" w:hangingChars="385" w:hanging="1232"/>
        <w:jc w:val="both"/>
        <w:rPr>
          <w:rFonts w:ascii="標楷體" w:hint="eastAsia"/>
          <w:color w:val="000000"/>
          <w:sz w:val="32"/>
        </w:rPr>
      </w:pPr>
      <w:r>
        <w:rPr>
          <w:rFonts w:ascii="標楷體" w:hint="eastAsia"/>
          <w:sz w:val="32"/>
        </w:rPr>
        <w:t>十五、本證明書之有效期間為十個月</w:t>
      </w:r>
      <w:r>
        <w:rPr>
          <w:rFonts w:ascii="標楷體" w:hint="eastAsia"/>
          <w:color w:val="000000"/>
          <w:sz w:val="32"/>
        </w:rPr>
        <w:t>。</w:t>
      </w:r>
    </w:p>
    <w:p w:rsidR="00000000" w:rsidRDefault="0030627C">
      <w:pPr>
        <w:ind w:firstLineChars="200" w:firstLine="640"/>
        <w:jc w:val="both"/>
        <w:rPr>
          <w:rFonts w:ascii="標楷體" w:eastAsia="標楷體" w:hint="eastAsia"/>
          <w:sz w:val="32"/>
        </w:rPr>
      </w:pPr>
      <w:r>
        <w:rPr>
          <w:rFonts w:ascii="標楷體" w:eastAsia="標楷體" w:hint="eastAsia"/>
          <w:sz w:val="32"/>
        </w:rPr>
        <w:t>在前項有效期間內因相關法令變更，致本證明書之內容與其</w:t>
      </w:r>
      <w:r>
        <w:rPr>
          <w:rFonts w:ascii="標楷體" w:eastAsia="標楷體" w:hint="eastAsia"/>
          <w:color w:val="FF0000"/>
          <w:sz w:val="32"/>
        </w:rPr>
        <w:t>牴</w:t>
      </w:r>
      <w:r>
        <w:rPr>
          <w:rFonts w:ascii="標楷體" w:eastAsia="標楷體" w:hint="eastAsia"/>
          <w:sz w:val="32"/>
        </w:rPr>
        <w:t>觸時，本證明書失效。</w:t>
      </w:r>
    </w:p>
    <w:p w:rsidR="0030627C" w:rsidRDefault="0030627C">
      <w:pPr>
        <w:ind w:left="640" w:hangingChars="200" w:hanging="640"/>
        <w:jc w:val="both"/>
        <w:rPr>
          <w:rFonts w:ascii="標楷體" w:eastAsia="標楷體" w:hint="eastAsia"/>
          <w:sz w:val="32"/>
        </w:rPr>
      </w:pPr>
      <w:r>
        <w:rPr>
          <w:rFonts w:ascii="標楷體" w:eastAsia="標楷體" w:hint="eastAsia"/>
          <w:sz w:val="32"/>
        </w:rPr>
        <w:t>十六、本基準發布實施後，未建築使用之土地自行分割產生之畸零地，應與分割前之同筆土地先行合併後，始得申請建造執照</w:t>
      </w:r>
      <w:r>
        <w:rPr>
          <w:rFonts w:ascii="標楷體" w:eastAsia="標楷體" w:hint="eastAsia"/>
          <w:color w:val="000000"/>
          <w:sz w:val="32"/>
        </w:rPr>
        <w:t>。</w:t>
      </w:r>
    </w:p>
    <w:sectPr w:rsidR="0030627C">
      <w:pgSz w:w="11906" w:h="16838" w:code="9"/>
      <w:pgMar w:top="1440" w:right="1797" w:bottom="1440" w:left="1797"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913ED"/>
    <w:multiLevelType w:val="hybridMultilevel"/>
    <w:tmpl w:val="4E801074"/>
    <w:lvl w:ilvl="0" w:tplc="171A99D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EC"/>
    <w:rsid w:val="0030627C"/>
    <w:rsid w:val="00A759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B3A5EF-63BF-451D-BE1F-6EC30BA6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next w:val="a0"/>
    <w:qFormat/>
    <w:pPr>
      <w:kinsoku w:val="0"/>
      <w:wordWrap w:val="0"/>
      <w:overflowPunct w:val="0"/>
      <w:autoSpaceDE w:val="0"/>
      <w:autoSpaceDN w:val="0"/>
      <w:snapToGrid w:val="0"/>
      <w:spacing w:line="360" w:lineRule="atLeast"/>
      <w:ind w:left="1123" w:hanging="1123"/>
      <w:outlineLvl w:val="1"/>
    </w:pPr>
    <w:rPr>
      <w:rFonts w:ascii="Arial" w:eastAsia="標楷體" w:hAnsi="Arial"/>
      <w:sz w:val="28"/>
      <w:szCs w:val="20"/>
    </w:rPr>
  </w:style>
  <w:style w:type="paragraph" w:styleId="3">
    <w:name w:val="heading 3"/>
    <w:basedOn w:val="a"/>
    <w:next w:val="a"/>
    <w:qFormat/>
    <w:pPr>
      <w:snapToGrid w:val="0"/>
      <w:spacing w:line="480" w:lineRule="atLeast"/>
      <w:ind w:left="1961" w:hanging="561"/>
      <w:outlineLvl w:val="2"/>
    </w:pPr>
    <w:rPr>
      <w:rFonts w:ascii="Arial" w:eastAsia="標楷體" w:hAnsi="Arial"/>
      <w:sz w:val="28"/>
      <w:szCs w:val="2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金門縣公有畸零地合併使用證明書核發基準</dc:title>
  <dc:subject/>
  <dc:creator>李雯</dc:creator>
  <cp:keywords/>
  <dc:description/>
  <cp:lastModifiedBy>Windows 使用者</cp:lastModifiedBy>
  <cp:revision>2</cp:revision>
  <cp:lastPrinted>2003-08-26T03:37:00Z</cp:lastPrinted>
  <dcterms:created xsi:type="dcterms:W3CDTF">2019-10-28T03:30:00Z</dcterms:created>
  <dcterms:modified xsi:type="dcterms:W3CDTF">2019-10-28T03:30:00Z</dcterms:modified>
</cp:coreProperties>
</file>