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B9" w:rsidRPr="00825EC3" w:rsidRDefault="001E3DB9" w:rsidP="00B327A5">
      <w:pPr>
        <w:tabs>
          <w:tab w:val="left" w:pos="5812"/>
        </w:tabs>
      </w:pPr>
    </w:p>
    <w:p w:rsidR="00FC4EDA" w:rsidRPr="00415A6B" w:rsidRDefault="00FC4EDA" w:rsidP="00FC4EDA">
      <w:pPr>
        <w:jc w:val="center"/>
        <w:outlineLvl w:val="1"/>
        <w:rPr>
          <w:b/>
          <w:sz w:val="40"/>
          <w:szCs w:val="40"/>
        </w:rPr>
      </w:pPr>
      <w:bookmarkStart w:id="0" w:name="_Toc510104649"/>
      <w:r w:rsidRPr="00415A6B">
        <w:rPr>
          <w:rFonts w:cs="新細明體" w:hint="eastAsia"/>
          <w:b/>
          <w:sz w:val="40"/>
          <w:szCs w:val="40"/>
        </w:rPr>
        <w:t>財政部門</w:t>
      </w:r>
      <w:r w:rsidRPr="00415A6B">
        <w:rPr>
          <w:rFonts w:hint="eastAsia"/>
          <w:b/>
          <w:sz w:val="40"/>
          <w:szCs w:val="40"/>
        </w:rPr>
        <w:t>10</w:t>
      </w:r>
      <w:r w:rsidR="003B086B">
        <w:rPr>
          <w:rFonts w:hint="eastAsia"/>
          <w:b/>
          <w:sz w:val="40"/>
          <w:szCs w:val="40"/>
        </w:rPr>
        <w:t>8</w:t>
      </w:r>
      <w:r w:rsidRPr="00415A6B">
        <w:rPr>
          <w:rFonts w:cs="新細明體" w:hint="eastAsia"/>
          <w:b/>
          <w:sz w:val="40"/>
          <w:szCs w:val="40"/>
        </w:rPr>
        <w:t>年度施政計畫</w:t>
      </w:r>
      <w:bookmarkEnd w:id="0"/>
    </w:p>
    <w:p w:rsidR="00FC4EDA" w:rsidRPr="00415A6B" w:rsidRDefault="00FC4EDA" w:rsidP="00E638A5">
      <w:pPr>
        <w:tabs>
          <w:tab w:val="left" w:pos="3840"/>
          <w:tab w:val="left" w:pos="4320"/>
        </w:tabs>
        <w:rPr>
          <w:b/>
          <w:sz w:val="28"/>
          <w:szCs w:val="28"/>
        </w:rPr>
      </w:pPr>
      <w:r w:rsidRPr="00415A6B">
        <w:rPr>
          <w:rFonts w:cs="新細明體" w:hint="eastAsia"/>
          <w:b/>
          <w:sz w:val="28"/>
          <w:szCs w:val="28"/>
        </w:rPr>
        <w:t>壹、年度施政目標與重點</w:t>
      </w:r>
      <w:r w:rsidR="00DA2254">
        <w:rPr>
          <w:rFonts w:cs="新細明體"/>
          <w:b/>
          <w:sz w:val="28"/>
          <w:szCs w:val="28"/>
        </w:rPr>
        <w:tab/>
      </w:r>
      <w:r w:rsidR="00E638A5">
        <w:rPr>
          <w:rFonts w:cs="新細明體"/>
          <w:b/>
          <w:sz w:val="28"/>
          <w:szCs w:val="28"/>
        </w:rPr>
        <w:tab/>
      </w:r>
    </w:p>
    <w:p w:rsidR="00FC4EDA" w:rsidRPr="005E43BA" w:rsidRDefault="00FC4EDA" w:rsidP="00FC4EDA">
      <w:pPr>
        <w:pStyle w:val="a3"/>
        <w:ind w:leftChars="0" w:left="960" w:hanging="480"/>
      </w:pPr>
      <w:r w:rsidRPr="005E43BA">
        <w:rPr>
          <w:rFonts w:hint="eastAsia"/>
        </w:rPr>
        <w:t>一、強化歲入預算及縣庫管理效能；辦理庫款孳息，增裕庫收，以應施政支出。</w:t>
      </w:r>
    </w:p>
    <w:p w:rsidR="00FC4EDA" w:rsidRPr="005E43BA" w:rsidRDefault="00FC4EDA" w:rsidP="00FC4EDA">
      <w:pPr>
        <w:pStyle w:val="a3"/>
        <w:ind w:leftChars="0" w:left="960" w:hanging="480"/>
      </w:pPr>
      <w:r w:rsidRPr="005E43BA">
        <w:rPr>
          <w:rFonts w:hint="eastAsia"/>
        </w:rPr>
        <w:t>二、積極督促各業管單位加強各項欠稅及行政罰款之收繳及清理，以符公平正義原則及維護本府財源；各項收入憑證之控管與加強抽核，有效掌控收入憑證管理工作。</w:t>
      </w:r>
    </w:p>
    <w:p w:rsidR="00FC4EDA" w:rsidRPr="005E43BA" w:rsidRDefault="00FC4EDA" w:rsidP="00FC4EDA">
      <w:pPr>
        <w:pStyle w:val="a3"/>
        <w:ind w:leftChars="0" w:left="960" w:hanging="480"/>
      </w:pPr>
      <w:r w:rsidRPr="005E43BA">
        <w:rPr>
          <w:rFonts w:hint="eastAsia"/>
        </w:rPr>
        <w:t>三、核發離島免稅購物商店設置同意。</w:t>
      </w:r>
    </w:p>
    <w:p w:rsidR="00FC4EDA" w:rsidRPr="005E43BA" w:rsidRDefault="00FC4EDA" w:rsidP="00FC4EDA">
      <w:pPr>
        <w:pStyle w:val="a3"/>
        <w:ind w:leftChars="0" w:left="960" w:hanging="480"/>
      </w:pPr>
      <w:r w:rsidRPr="005E43BA">
        <w:rPr>
          <w:rFonts w:hint="eastAsia"/>
        </w:rPr>
        <w:t>四、督導金酒公司業務。</w:t>
      </w:r>
    </w:p>
    <w:p w:rsidR="00FC4EDA" w:rsidRPr="005E43BA" w:rsidRDefault="00FC4EDA" w:rsidP="00FC4EDA">
      <w:pPr>
        <w:pStyle w:val="a3"/>
        <w:ind w:leftChars="0" w:left="960" w:hanging="480"/>
      </w:pPr>
      <w:r w:rsidRPr="005E43BA">
        <w:rPr>
          <w:rFonts w:hint="eastAsia"/>
        </w:rPr>
        <w:t>五、推動庫款支付作業無紙化，檢討免憑單支付金額提高額度至新台幣</w:t>
      </w:r>
      <w:r w:rsidRPr="005E43BA">
        <w:rPr>
          <w:rFonts w:hint="eastAsia"/>
        </w:rPr>
        <w:t>200</w:t>
      </w:r>
      <w:r w:rsidR="005F2E0F" w:rsidRPr="005E43BA">
        <w:rPr>
          <w:rFonts w:hint="eastAsia"/>
        </w:rPr>
        <w:t>萬</w:t>
      </w:r>
      <w:r w:rsidRPr="005E43BA">
        <w:rPr>
          <w:rFonts w:hint="eastAsia"/>
        </w:rPr>
        <w:t>元整。</w:t>
      </w:r>
    </w:p>
    <w:p w:rsidR="00FC4EDA" w:rsidRPr="005E43BA" w:rsidRDefault="00FC4EDA" w:rsidP="00FC4EDA">
      <w:pPr>
        <w:pStyle w:val="a3"/>
        <w:ind w:leftChars="0" w:left="960" w:hanging="480"/>
      </w:pPr>
      <w:r w:rsidRPr="005E43BA">
        <w:rPr>
          <w:rFonts w:hint="eastAsia"/>
        </w:rPr>
        <w:t>六、確保庫款安全，減少實體支票開立，提高電匯比率。</w:t>
      </w:r>
    </w:p>
    <w:p w:rsidR="00FC4EDA" w:rsidRPr="005E43BA" w:rsidRDefault="00FC4EDA" w:rsidP="00FC4EDA">
      <w:pPr>
        <w:pStyle w:val="a3"/>
        <w:ind w:leftChars="0" w:left="960" w:hanging="480"/>
      </w:pPr>
      <w:r w:rsidRPr="005E43BA">
        <w:rPr>
          <w:rFonts w:hint="eastAsia"/>
        </w:rPr>
        <w:t>七、執行私劣菸酒稽查及取締工作。</w:t>
      </w:r>
    </w:p>
    <w:p w:rsidR="00FC4EDA" w:rsidRPr="005E43BA" w:rsidRDefault="00FC4EDA" w:rsidP="00FC4EDA">
      <w:pPr>
        <w:pStyle w:val="a3"/>
        <w:ind w:leftChars="0" w:left="960" w:hanging="480"/>
      </w:pPr>
      <w:r w:rsidRPr="005E43BA">
        <w:rPr>
          <w:rFonts w:hint="eastAsia"/>
        </w:rPr>
        <w:t>八、積極辦理菸酒管理法令宣導工作。</w:t>
      </w:r>
    </w:p>
    <w:p w:rsidR="00FC4EDA" w:rsidRPr="005E43BA" w:rsidRDefault="00FC4EDA" w:rsidP="00FC4EDA">
      <w:pPr>
        <w:pStyle w:val="a3"/>
        <w:ind w:leftChars="0" w:left="960" w:hanging="480"/>
      </w:pPr>
      <w:r w:rsidRPr="005E43BA">
        <w:rPr>
          <w:rFonts w:hint="eastAsia"/>
        </w:rPr>
        <w:t>九、健全縣有財產產籍資料，執行財產之處分、出租、撥用、清查占用等管制及管理。</w:t>
      </w:r>
    </w:p>
    <w:p w:rsidR="00FC4EDA" w:rsidRPr="005E43BA" w:rsidRDefault="00FC4EDA" w:rsidP="00FC4EDA">
      <w:pPr>
        <w:pStyle w:val="a3"/>
        <w:ind w:leftChars="0" w:left="960" w:hanging="480"/>
      </w:pPr>
      <w:r w:rsidRPr="005E43BA">
        <w:rPr>
          <w:rFonts w:hint="eastAsia"/>
        </w:rPr>
        <w:t>十、公用財產管理情形之督導與績效考核，輔導受檢機關學校改善財產管理缺失，提高其管理使用效率。</w:t>
      </w:r>
    </w:p>
    <w:p w:rsidR="00FC4EDA" w:rsidRPr="005E43BA" w:rsidRDefault="00FC4EDA" w:rsidP="00FC4EDA">
      <w:pPr>
        <w:pStyle w:val="a3"/>
        <w:ind w:leftChars="0" w:left="960" w:hanging="480"/>
      </w:pPr>
      <w:r w:rsidRPr="005E43BA">
        <w:rPr>
          <w:rFonts w:hint="eastAsia"/>
        </w:rPr>
        <w:t>十一、推行縣有動產報廢後於惜物網拍賣作業，鼓勵各機關學校積極開發財源。</w:t>
      </w:r>
    </w:p>
    <w:p w:rsidR="00FC4EDA" w:rsidRPr="005E43BA" w:rsidRDefault="00FC4EDA" w:rsidP="00FC4EDA">
      <w:pPr>
        <w:pStyle w:val="a3"/>
        <w:ind w:leftChars="0" w:left="960" w:hanging="480"/>
      </w:pPr>
      <w:r w:rsidRPr="005E43BA">
        <w:rPr>
          <w:rFonts w:hint="eastAsia"/>
        </w:rPr>
        <w:t>十二、清查盤點經管之財產，處理縣有土地被占用追收使用補償金及放租利用。</w:t>
      </w:r>
    </w:p>
    <w:p w:rsidR="00FC4EDA" w:rsidRPr="005E43BA" w:rsidRDefault="00FC4EDA" w:rsidP="00FC4EDA">
      <w:pPr>
        <w:pStyle w:val="a3"/>
        <w:ind w:leftChars="0" w:left="960" w:hanging="480"/>
      </w:pPr>
      <w:r w:rsidRPr="005E43BA">
        <w:rPr>
          <w:rFonts w:hint="eastAsia"/>
        </w:rPr>
        <w:t>十三、</w:t>
      </w:r>
      <w:r w:rsidR="00893CC2" w:rsidRPr="005E43BA">
        <w:rPr>
          <w:rFonts w:hint="eastAsia"/>
        </w:rPr>
        <w:t>軍事閒置營區房地資料之建立，完整保留戰地史蹟特色，促進觀光產業發展。</w:t>
      </w:r>
    </w:p>
    <w:p w:rsidR="00FC4EDA" w:rsidRPr="005E43BA" w:rsidRDefault="00FC4EDA" w:rsidP="00FC4EDA">
      <w:pPr>
        <w:pStyle w:val="a3"/>
        <w:ind w:leftChars="0" w:left="960" w:hanging="480"/>
      </w:pPr>
      <w:r w:rsidRPr="005E43BA">
        <w:rPr>
          <w:rFonts w:hint="eastAsia"/>
        </w:rPr>
        <w:t>十四、執行「離島建設條例」第</w:t>
      </w:r>
      <w:r w:rsidRPr="005E43BA">
        <w:rPr>
          <w:rFonts w:hint="eastAsia"/>
        </w:rPr>
        <w:t>9</w:t>
      </w:r>
      <w:r w:rsidRPr="005E43BA">
        <w:rPr>
          <w:rFonts w:hint="eastAsia"/>
        </w:rPr>
        <w:t>條民眾申請購回或讓售縣有土地處分案。</w:t>
      </w:r>
    </w:p>
    <w:p w:rsidR="00FC4EDA" w:rsidRPr="005E43BA" w:rsidRDefault="00FC4EDA" w:rsidP="00FC4EDA">
      <w:pPr>
        <w:pStyle w:val="a3"/>
        <w:ind w:leftChars="0" w:left="960" w:hanging="480"/>
      </w:pPr>
      <w:r w:rsidRPr="005E43BA">
        <w:rPr>
          <w:rFonts w:hint="eastAsia"/>
        </w:rPr>
        <w:t>十五、</w:t>
      </w:r>
      <w:r w:rsidR="00A755EB" w:rsidRPr="005E43BA">
        <w:rPr>
          <w:rFonts w:hint="eastAsia"/>
        </w:rPr>
        <w:t>配合公共建設用地需用私有地，以公有非公用土地「交換」方式，解決公共建設用地取得問題，促進金門地方建設發展。</w:t>
      </w:r>
    </w:p>
    <w:p w:rsidR="001F5083" w:rsidRPr="005E43BA" w:rsidRDefault="00FC4EDA" w:rsidP="001F5083">
      <w:pPr>
        <w:ind w:leftChars="200" w:left="960" w:hangingChars="200" w:hanging="480"/>
        <w:rPr>
          <w:rFonts w:ascii="新細明體" w:hAnsi="新細明體"/>
        </w:rPr>
      </w:pPr>
      <w:r w:rsidRPr="005E43BA">
        <w:rPr>
          <w:rFonts w:hint="eastAsia"/>
        </w:rPr>
        <w:t>十六、</w:t>
      </w:r>
      <w:r w:rsidR="001F5083" w:rsidRPr="005E43BA">
        <w:rPr>
          <w:rFonts w:ascii="新細明體" w:hAnsi="新細明體" w:hint="eastAsia"/>
        </w:rPr>
        <w:t>依縣有財產自治條例規定辦理金門新村住宅標售及店鋪標租，促進縣產有效利用，充實縣庫財源。</w:t>
      </w:r>
    </w:p>
    <w:p w:rsidR="001F5083" w:rsidRPr="005E43BA" w:rsidRDefault="00FC4EDA" w:rsidP="00FC4EDA">
      <w:pPr>
        <w:pStyle w:val="a3"/>
        <w:ind w:leftChars="0" w:left="960" w:hanging="480"/>
      </w:pPr>
      <w:r w:rsidRPr="005E43BA">
        <w:rPr>
          <w:rFonts w:hint="eastAsia"/>
        </w:rPr>
        <w:t>十七、</w:t>
      </w:r>
      <w:r w:rsidR="001F5083" w:rsidRPr="005E43BA">
        <w:rPr>
          <w:rFonts w:asciiTheme="majorEastAsia" w:eastAsiaTheme="majorEastAsia" w:hAnsiTheme="majorEastAsia" w:hint="eastAsia"/>
        </w:rPr>
        <w:t>辦理中和四眷村－太湖山莊先期規劃及其餘眷村開發</w:t>
      </w:r>
      <w:r w:rsidR="001F5083" w:rsidRPr="005E43BA">
        <w:rPr>
          <w:rFonts w:asciiTheme="majorEastAsia" w:eastAsiaTheme="majorEastAsia" w:hAnsiTheme="majorEastAsia" w:hint="eastAsia"/>
          <w:lang w:eastAsia="zh-HK"/>
        </w:rPr>
        <w:t>順序及時程</w:t>
      </w:r>
      <w:r w:rsidR="001F5083" w:rsidRPr="005E43BA">
        <w:rPr>
          <w:rFonts w:asciiTheme="majorEastAsia" w:eastAsiaTheme="majorEastAsia" w:hAnsiTheme="majorEastAsia" w:hint="eastAsia"/>
        </w:rPr>
        <w:t>與策略，提升縣產效益最大化。</w:t>
      </w:r>
    </w:p>
    <w:p w:rsidR="00B02C5E" w:rsidRPr="005E43BA" w:rsidRDefault="00FC4EDA" w:rsidP="00B02C5E">
      <w:pPr>
        <w:ind w:leftChars="200" w:left="480"/>
        <w:rPr>
          <w:rFonts w:asciiTheme="majorEastAsia" w:eastAsiaTheme="majorEastAsia" w:hAnsiTheme="majorEastAsia"/>
        </w:rPr>
      </w:pPr>
      <w:r w:rsidRPr="005E43BA">
        <w:rPr>
          <w:rFonts w:hint="eastAsia"/>
        </w:rPr>
        <w:t>十八、</w:t>
      </w:r>
      <w:r w:rsidR="00B02C5E" w:rsidRPr="005E43BA">
        <w:rPr>
          <w:rFonts w:asciiTheme="majorEastAsia" w:eastAsiaTheme="majorEastAsia" w:hAnsiTheme="majorEastAsia" w:hint="eastAsia"/>
        </w:rPr>
        <w:t>辦理太武山莊修復及再利用計畫，保存眷村文化資產。</w:t>
      </w:r>
    </w:p>
    <w:p w:rsidR="00FC4EDA" w:rsidRPr="005E43BA" w:rsidRDefault="00FC4EDA" w:rsidP="00FC4EDA">
      <w:pPr>
        <w:pStyle w:val="a3"/>
        <w:ind w:leftChars="0" w:left="960" w:hanging="480"/>
      </w:pPr>
      <w:r w:rsidRPr="005E43BA">
        <w:rPr>
          <w:rFonts w:hint="eastAsia"/>
        </w:rPr>
        <w:t>十九、</w:t>
      </w:r>
      <w:r w:rsidR="00B02C5E" w:rsidRPr="005E43BA">
        <w:rPr>
          <w:rFonts w:ascii="新細明體" w:hAnsi="新細明體" w:hint="eastAsia"/>
        </w:rPr>
        <w:t>辦理「金城鎮西南門公所暨周邊地區重建計畫」先期規畫策略開發縣產，促進城區核心住商經濟效益最大化。</w:t>
      </w:r>
    </w:p>
    <w:p w:rsidR="00FC4EDA" w:rsidRPr="005E43BA" w:rsidRDefault="00FC4EDA" w:rsidP="00FC4EDA">
      <w:pPr>
        <w:rPr>
          <w:b/>
          <w:sz w:val="28"/>
          <w:szCs w:val="28"/>
        </w:rPr>
      </w:pPr>
      <w:r w:rsidRPr="005E43BA">
        <w:rPr>
          <w:rFonts w:cs="新細明體"/>
          <w:b/>
          <w:sz w:val="28"/>
          <w:szCs w:val="28"/>
        </w:rPr>
        <w:br w:type="page"/>
      </w:r>
      <w:r w:rsidRPr="005E43BA">
        <w:rPr>
          <w:rFonts w:cs="新細明體" w:hint="eastAsia"/>
          <w:b/>
          <w:sz w:val="28"/>
          <w:szCs w:val="28"/>
        </w:rPr>
        <w:lastRenderedPageBreak/>
        <w:t>貳、衡量指標</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8"/>
        <w:gridCol w:w="1503"/>
        <w:gridCol w:w="349"/>
        <w:gridCol w:w="1503"/>
        <w:gridCol w:w="926"/>
        <w:gridCol w:w="2185"/>
        <w:gridCol w:w="957"/>
        <w:gridCol w:w="1828"/>
      </w:tblGrid>
      <w:tr w:rsidR="005E43BA" w:rsidRPr="005E43BA" w:rsidTr="003C3236">
        <w:trPr>
          <w:cantSplit/>
          <w:tblHeader/>
          <w:jc w:val="center"/>
        </w:trPr>
        <w:tc>
          <w:tcPr>
            <w:tcW w:w="1851" w:type="dxa"/>
            <w:gridSpan w:val="2"/>
            <w:vMerge w:val="restart"/>
            <w:vAlign w:val="center"/>
          </w:tcPr>
          <w:p w:rsidR="00FC4EDA" w:rsidRPr="005E43BA" w:rsidRDefault="00FC4EDA" w:rsidP="003C3236">
            <w:pPr>
              <w:jc w:val="center"/>
              <w:rPr>
                <w:b/>
                <w:sz w:val="20"/>
                <w:szCs w:val="20"/>
              </w:rPr>
            </w:pPr>
            <w:r w:rsidRPr="005E43BA">
              <w:rPr>
                <w:rFonts w:cs="新細明體" w:hint="eastAsia"/>
                <w:b/>
                <w:sz w:val="20"/>
                <w:szCs w:val="20"/>
              </w:rPr>
              <w:t>策略績效目標</w:t>
            </w:r>
          </w:p>
        </w:tc>
        <w:tc>
          <w:tcPr>
            <w:tcW w:w="5920" w:type="dxa"/>
            <w:gridSpan w:val="5"/>
          </w:tcPr>
          <w:p w:rsidR="00FC4EDA" w:rsidRPr="005E43BA" w:rsidRDefault="00FC4EDA" w:rsidP="003C3236">
            <w:pPr>
              <w:jc w:val="center"/>
              <w:rPr>
                <w:b/>
                <w:sz w:val="20"/>
                <w:szCs w:val="20"/>
              </w:rPr>
            </w:pPr>
            <w:r w:rsidRPr="005E43BA">
              <w:rPr>
                <w:rFonts w:cs="新細明體" w:hint="eastAsia"/>
                <w:b/>
                <w:sz w:val="20"/>
                <w:szCs w:val="20"/>
              </w:rPr>
              <w:t>衡量指標</w:t>
            </w:r>
          </w:p>
        </w:tc>
        <w:tc>
          <w:tcPr>
            <w:tcW w:w="1828" w:type="dxa"/>
            <w:vMerge w:val="restart"/>
            <w:vAlign w:val="center"/>
          </w:tcPr>
          <w:p w:rsidR="00FC4EDA" w:rsidRPr="005E43BA" w:rsidRDefault="00FC4EDA" w:rsidP="003C3236">
            <w:pPr>
              <w:jc w:val="center"/>
              <w:rPr>
                <w:rFonts w:cs="新細明體"/>
                <w:b/>
                <w:sz w:val="20"/>
                <w:szCs w:val="20"/>
              </w:rPr>
            </w:pPr>
            <w:r w:rsidRPr="005E43BA">
              <w:rPr>
                <w:rFonts w:cs="新細明體" w:hint="eastAsia"/>
                <w:b/>
                <w:sz w:val="20"/>
                <w:szCs w:val="20"/>
              </w:rPr>
              <w:t>關聯之重要施政</w:t>
            </w:r>
          </w:p>
          <w:p w:rsidR="00FC4EDA" w:rsidRPr="005E43BA" w:rsidRDefault="00FC4EDA" w:rsidP="003C3236">
            <w:pPr>
              <w:jc w:val="center"/>
              <w:rPr>
                <w:b/>
                <w:sz w:val="20"/>
                <w:szCs w:val="20"/>
              </w:rPr>
            </w:pPr>
            <w:r w:rsidRPr="005E43BA">
              <w:rPr>
                <w:rFonts w:cs="新細明體" w:hint="eastAsia"/>
                <w:b/>
                <w:sz w:val="20"/>
                <w:szCs w:val="20"/>
              </w:rPr>
              <w:t>計畫項目</w:t>
            </w:r>
          </w:p>
        </w:tc>
      </w:tr>
      <w:tr w:rsidR="005E43BA" w:rsidRPr="005E43BA" w:rsidTr="003C3236">
        <w:trPr>
          <w:cantSplit/>
          <w:trHeight w:val="600"/>
          <w:tblHeader/>
          <w:jc w:val="center"/>
        </w:trPr>
        <w:tc>
          <w:tcPr>
            <w:tcW w:w="1851" w:type="dxa"/>
            <w:gridSpan w:val="2"/>
            <w:vMerge/>
          </w:tcPr>
          <w:p w:rsidR="00FC4EDA" w:rsidRPr="005E43BA" w:rsidRDefault="00FC4EDA" w:rsidP="003C3236">
            <w:pPr>
              <w:rPr>
                <w:sz w:val="20"/>
                <w:szCs w:val="20"/>
              </w:rPr>
            </w:pPr>
          </w:p>
        </w:tc>
        <w:tc>
          <w:tcPr>
            <w:tcW w:w="1852" w:type="dxa"/>
            <w:gridSpan w:val="2"/>
            <w:vAlign w:val="center"/>
          </w:tcPr>
          <w:p w:rsidR="00FC4EDA" w:rsidRPr="005E43BA" w:rsidRDefault="00FC4EDA" w:rsidP="003C3236">
            <w:pPr>
              <w:jc w:val="center"/>
              <w:rPr>
                <w:b/>
                <w:sz w:val="20"/>
                <w:szCs w:val="20"/>
              </w:rPr>
            </w:pPr>
            <w:r w:rsidRPr="005E43BA">
              <w:rPr>
                <w:rFonts w:cs="新細明體" w:hint="eastAsia"/>
                <w:b/>
                <w:sz w:val="20"/>
                <w:szCs w:val="20"/>
              </w:rPr>
              <w:t>衡量指標</w:t>
            </w:r>
          </w:p>
          <w:p w:rsidR="00FC4EDA" w:rsidRPr="005E43BA" w:rsidRDefault="00FC4EDA" w:rsidP="003C3236">
            <w:pPr>
              <w:jc w:val="center"/>
              <w:rPr>
                <w:b/>
                <w:sz w:val="20"/>
                <w:szCs w:val="20"/>
              </w:rPr>
            </w:pPr>
            <w:r w:rsidRPr="005E43BA">
              <w:rPr>
                <w:rFonts w:hint="eastAsia"/>
                <w:b/>
                <w:sz w:val="20"/>
                <w:szCs w:val="20"/>
              </w:rPr>
              <w:t>KPI</w:t>
            </w:r>
          </w:p>
        </w:tc>
        <w:tc>
          <w:tcPr>
            <w:tcW w:w="926" w:type="dxa"/>
            <w:vAlign w:val="center"/>
          </w:tcPr>
          <w:p w:rsidR="00FC4EDA" w:rsidRPr="005E43BA" w:rsidRDefault="00FC4EDA" w:rsidP="003C3236">
            <w:pPr>
              <w:jc w:val="center"/>
              <w:rPr>
                <w:b/>
                <w:sz w:val="20"/>
                <w:szCs w:val="20"/>
              </w:rPr>
            </w:pPr>
            <w:r w:rsidRPr="005E43BA">
              <w:rPr>
                <w:rFonts w:cs="新細明體" w:hint="eastAsia"/>
                <w:b/>
                <w:sz w:val="20"/>
                <w:szCs w:val="20"/>
              </w:rPr>
              <w:t>評估方式</w:t>
            </w:r>
          </w:p>
        </w:tc>
        <w:tc>
          <w:tcPr>
            <w:tcW w:w="2185" w:type="dxa"/>
            <w:vAlign w:val="center"/>
          </w:tcPr>
          <w:p w:rsidR="00FC4EDA" w:rsidRPr="005E43BA" w:rsidRDefault="00FC4EDA" w:rsidP="003C3236">
            <w:pPr>
              <w:jc w:val="center"/>
              <w:rPr>
                <w:b/>
                <w:sz w:val="20"/>
                <w:szCs w:val="20"/>
              </w:rPr>
            </w:pPr>
            <w:r w:rsidRPr="005E43BA">
              <w:rPr>
                <w:rFonts w:cs="新細明體" w:hint="eastAsia"/>
                <w:b/>
                <w:sz w:val="20"/>
                <w:szCs w:val="20"/>
              </w:rPr>
              <w:t>衡量標準</w:t>
            </w:r>
          </w:p>
        </w:tc>
        <w:tc>
          <w:tcPr>
            <w:tcW w:w="957" w:type="dxa"/>
          </w:tcPr>
          <w:p w:rsidR="00FC4EDA" w:rsidRPr="005E43BA" w:rsidRDefault="00FC4EDA" w:rsidP="003C3236">
            <w:pPr>
              <w:jc w:val="center"/>
              <w:rPr>
                <w:b/>
                <w:sz w:val="20"/>
                <w:szCs w:val="20"/>
              </w:rPr>
            </w:pPr>
            <w:r w:rsidRPr="005E43BA">
              <w:rPr>
                <w:rFonts w:cs="新細明體" w:hint="eastAsia"/>
                <w:b/>
                <w:sz w:val="20"/>
                <w:szCs w:val="20"/>
              </w:rPr>
              <w:t>年度績效</w:t>
            </w:r>
          </w:p>
          <w:p w:rsidR="00FC4EDA" w:rsidRPr="005E43BA" w:rsidRDefault="00FC4EDA" w:rsidP="003C3236">
            <w:pPr>
              <w:jc w:val="center"/>
              <w:rPr>
                <w:b/>
                <w:sz w:val="20"/>
                <w:szCs w:val="20"/>
              </w:rPr>
            </w:pPr>
            <w:r w:rsidRPr="005E43BA">
              <w:rPr>
                <w:rFonts w:cs="新細明體" w:hint="eastAsia"/>
                <w:b/>
                <w:sz w:val="20"/>
                <w:szCs w:val="20"/>
              </w:rPr>
              <w:t>目標值</w:t>
            </w:r>
          </w:p>
        </w:tc>
        <w:tc>
          <w:tcPr>
            <w:tcW w:w="1828" w:type="dxa"/>
            <w:vMerge/>
          </w:tcPr>
          <w:p w:rsidR="00FC4EDA" w:rsidRPr="005E43BA" w:rsidRDefault="00FC4EDA" w:rsidP="003C3236">
            <w:pPr>
              <w:jc w:val="center"/>
              <w:rPr>
                <w:sz w:val="20"/>
                <w:szCs w:val="20"/>
              </w:rPr>
            </w:pPr>
          </w:p>
        </w:tc>
      </w:tr>
      <w:tr w:rsidR="005E43BA" w:rsidRPr="005E43BA" w:rsidTr="003C3236">
        <w:trPr>
          <w:cantSplit/>
          <w:trHeight w:val="400"/>
          <w:jc w:val="center"/>
        </w:trPr>
        <w:tc>
          <w:tcPr>
            <w:tcW w:w="348" w:type="dxa"/>
            <w:tcBorders>
              <w:top w:val="single" w:sz="4" w:space="0" w:color="000000"/>
              <w:left w:val="single" w:sz="4" w:space="0" w:color="000000"/>
              <w:bottom w:val="single" w:sz="4" w:space="0" w:color="auto"/>
              <w:right w:val="single" w:sz="4" w:space="0" w:color="000000"/>
            </w:tcBorders>
            <w:vAlign w:val="center"/>
          </w:tcPr>
          <w:p w:rsidR="00FC4EDA" w:rsidRPr="005E43BA" w:rsidRDefault="00FC4EDA" w:rsidP="003C3236">
            <w:pPr>
              <w:pStyle w:val="Default"/>
              <w:autoSpaceDE/>
              <w:autoSpaceDN/>
              <w:adjustRightInd/>
              <w:jc w:val="center"/>
              <w:rPr>
                <w:rFonts w:ascii="Times New Roman"/>
                <w:color w:val="auto"/>
                <w:sz w:val="20"/>
                <w:szCs w:val="20"/>
              </w:rPr>
            </w:pPr>
            <w:r w:rsidRPr="005E43BA">
              <w:rPr>
                <w:rFonts w:ascii="Times New Roman" w:hint="eastAsia"/>
                <w:color w:val="auto"/>
                <w:sz w:val="20"/>
                <w:szCs w:val="20"/>
              </w:rPr>
              <w:t>一</w:t>
            </w:r>
          </w:p>
        </w:tc>
        <w:tc>
          <w:tcPr>
            <w:tcW w:w="1503" w:type="dxa"/>
            <w:tcBorders>
              <w:top w:val="single" w:sz="4" w:space="0" w:color="000000"/>
              <w:left w:val="single" w:sz="4" w:space="0" w:color="000000"/>
              <w:bottom w:val="single" w:sz="4" w:space="0" w:color="auto"/>
              <w:right w:val="single" w:sz="4" w:space="0" w:color="000000"/>
            </w:tcBorders>
            <w:vAlign w:val="center"/>
          </w:tcPr>
          <w:p w:rsidR="00FC4EDA" w:rsidRPr="005E43BA" w:rsidRDefault="00FC4EDA" w:rsidP="003C3236">
            <w:pPr>
              <w:pStyle w:val="Default"/>
              <w:autoSpaceDE/>
              <w:autoSpaceDN/>
              <w:adjustRightInd/>
              <w:jc w:val="both"/>
              <w:rPr>
                <w:rFonts w:ascii="Times New Roman"/>
                <w:color w:val="auto"/>
                <w:sz w:val="20"/>
                <w:szCs w:val="20"/>
              </w:rPr>
            </w:pPr>
            <w:r w:rsidRPr="005E43BA">
              <w:rPr>
                <w:rFonts w:ascii="Times New Roman" w:hint="eastAsia"/>
                <w:color w:val="auto"/>
                <w:sz w:val="20"/>
                <w:szCs w:val="20"/>
              </w:rPr>
              <w:t>提高財政自主，降低財政依賴</w:t>
            </w:r>
          </w:p>
        </w:tc>
        <w:tc>
          <w:tcPr>
            <w:tcW w:w="349" w:type="dxa"/>
            <w:tcBorders>
              <w:top w:val="single" w:sz="4" w:space="0" w:color="000000"/>
              <w:left w:val="single" w:sz="4" w:space="0" w:color="000000"/>
              <w:bottom w:val="single" w:sz="4" w:space="0" w:color="000000"/>
              <w:right w:val="single" w:sz="4" w:space="0" w:color="000000"/>
            </w:tcBorders>
            <w:vAlign w:val="center"/>
          </w:tcPr>
          <w:p w:rsidR="00FC4EDA" w:rsidRPr="005E43BA" w:rsidRDefault="00FC4EDA" w:rsidP="003C3236">
            <w:pPr>
              <w:pStyle w:val="Default"/>
              <w:autoSpaceDE/>
              <w:autoSpaceDN/>
              <w:adjustRightInd/>
              <w:jc w:val="both"/>
              <w:rPr>
                <w:rFonts w:ascii="Times New Roman"/>
                <w:color w:val="auto"/>
                <w:sz w:val="20"/>
                <w:szCs w:val="20"/>
              </w:rPr>
            </w:pPr>
            <w:r w:rsidRPr="005E43BA">
              <w:rPr>
                <w:rFonts w:ascii="Times New Roman" w:hint="eastAsia"/>
                <w:color w:val="auto"/>
                <w:sz w:val="20"/>
                <w:szCs w:val="20"/>
              </w:rPr>
              <w:t xml:space="preserve"> 1</w:t>
            </w:r>
          </w:p>
        </w:tc>
        <w:tc>
          <w:tcPr>
            <w:tcW w:w="1503" w:type="dxa"/>
            <w:tcBorders>
              <w:top w:val="single" w:sz="4" w:space="0" w:color="000000"/>
              <w:left w:val="single" w:sz="4" w:space="0" w:color="000000"/>
              <w:bottom w:val="single" w:sz="4" w:space="0" w:color="000000"/>
              <w:right w:val="single" w:sz="4" w:space="0" w:color="000000"/>
            </w:tcBorders>
            <w:vAlign w:val="center"/>
          </w:tcPr>
          <w:p w:rsidR="00FC4EDA" w:rsidRPr="005E43BA" w:rsidRDefault="00FC4EDA" w:rsidP="003C3236">
            <w:pPr>
              <w:pStyle w:val="Default"/>
              <w:autoSpaceDE/>
              <w:autoSpaceDN/>
              <w:adjustRightInd/>
              <w:jc w:val="both"/>
              <w:rPr>
                <w:rFonts w:ascii="Times New Roman"/>
                <w:color w:val="auto"/>
                <w:sz w:val="20"/>
                <w:szCs w:val="20"/>
              </w:rPr>
            </w:pPr>
            <w:r w:rsidRPr="005E43BA">
              <w:rPr>
                <w:rFonts w:ascii="Times New Roman" w:hint="eastAsia"/>
                <w:color w:val="auto"/>
                <w:sz w:val="20"/>
                <w:szCs w:val="20"/>
              </w:rPr>
              <w:t>當年度自籌財源收入比率不低於各縣市自籌財源率</w:t>
            </w:r>
          </w:p>
        </w:tc>
        <w:tc>
          <w:tcPr>
            <w:tcW w:w="926" w:type="dxa"/>
            <w:tcBorders>
              <w:top w:val="single" w:sz="4" w:space="0" w:color="000000"/>
              <w:left w:val="single" w:sz="4" w:space="0" w:color="000000"/>
              <w:bottom w:val="single" w:sz="4" w:space="0" w:color="000000"/>
              <w:right w:val="single" w:sz="4" w:space="0" w:color="000000"/>
            </w:tcBorders>
            <w:vAlign w:val="center"/>
          </w:tcPr>
          <w:p w:rsidR="00FC4EDA" w:rsidRPr="005E43BA" w:rsidRDefault="00FC4EDA" w:rsidP="003C3236">
            <w:pPr>
              <w:pStyle w:val="Default"/>
              <w:autoSpaceDE/>
              <w:autoSpaceDN/>
              <w:adjustRightInd/>
              <w:rPr>
                <w:rFonts w:ascii="Times New Roman"/>
                <w:color w:val="auto"/>
                <w:sz w:val="20"/>
                <w:szCs w:val="20"/>
              </w:rPr>
            </w:pPr>
            <w:r w:rsidRPr="005E43BA">
              <w:rPr>
                <w:rFonts w:ascii="Times New Roman" w:hint="eastAsia"/>
                <w:color w:val="auto"/>
                <w:sz w:val="20"/>
                <w:szCs w:val="20"/>
              </w:rPr>
              <w:t>統計數據</w:t>
            </w:r>
          </w:p>
        </w:tc>
        <w:tc>
          <w:tcPr>
            <w:tcW w:w="2185" w:type="dxa"/>
            <w:tcBorders>
              <w:top w:val="single" w:sz="4" w:space="0" w:color="000000"/>
              <w:left w:val="single" w:sz="4" w:space="0" w:color="000000"/>
              <w:bottom w:val="single" w:sz="4" w:space="0" w:color="000000"/>
              <w:right w:val="single" w:sz="4" w:space="0" w:color="000000"/>
            </w:tcBorders>
            <w:vAlign w:val="center"/>
          </w:tcPr>
          <w:p w:rsidR="00FC4EDA" w:rsidRPr="005E43BA" w:rsidRDefault="00FC4EDA" w:rsidP="003C3236">
            <w:pPr>
              <w:pStyle w:val="Default"/>
              <w:autoSpaceDE/>
              <w:autoSpaceDN/>
              <w:adjustRightInd/>
              <w:rPr>
                <w:rFonts w:ascii="Times New Roman"/>
                <w:color w:val="auto"/>
                <w:sz w:val="20"/>
                <w:szCs w:val="20"/>
              </w:rPr>
            </w:pPr>
            <w:r w:rsidRPr="005E43BA">
              <w:rPr>
                <w:rFonts w:ascii="Times New Roman" w:hint="eastAsia"/>
                <w:color w:val="auto"/>
                <w:sz w:val="20"/>
                <w:szCs w:val="20"/>
              </w:rPr>
              <w:t>（當年度決算自有財源收入</w:t>
            </w:r>
            <w:r w:rsidRPr="005E43BA">
              <w:rPr>
                <w:rFonts w:ascii="Times New Roman" w:hint="eastAsia"/>
                <w:color w:val="auto"/>
                <w:sz w:val="20"/>
                <w:szCs w:val="20"/>
              </w:rPr>
              <w:t>/</w:t>
            </w:r>
            <w:r w:rsidRPr="005E43BA">
              <w:rPr>
                <w:rFonts w:ascii="Times New Roman" w:hint="eastAsia"/>
                <w:color w:val="auto"/>
                <w:sz w:val="20"/>
                <w:szCs w:val="20"/>
              </w:rPr>
              <w:t>年度決算總歲入）</w:t>
            </w:r>
            <w:r w:rsidRPr="005E43BA">
              <w:rPr>
                <w:rFonts w:ascii="Times New Roman" w:cs="新細明體-ExtB" w:hint="eastAsia"/>
                <w:color w:val="auto"/>
                <w:sz w:val="20"/>
                <w:szCs w:val="20"/>
              </w:rPr>
              <w:t>÷</w:t>
            </w:r>
            <w:r w:rsidRPr="005E43BA">
              <w:rPr>
                <w:rFonts w:ascii="Times New Roman" w:hint="eastAsia"/>
                <w:color w:val="auto"/>
                <w:sz w:val="20"/>
                <w:szCs w:val="20"/>
              </w:rPr>
              <w:t>各縣市自籌財源率</w:t>
            </w:r>
          </w:p>
        </w:tc>
        <w:tc>
          <w:tcPr>
            <w:tcW w:w="957" w:type="dxa"/>
            <w:tcBorders>
              <w:top w:val="single" w:sz="4" w:space="0" w:color="000000"/>
              <w:left w:val="single" w:sz="4" w:space="0" w:color="000000"/>
              <w:bottom w:val="single" w:sz="4" w:space="0" w:color="000000"/>
              <w:right w:val="single" w:sz="4" w:space="0" w:color="000000"/>
            </w:tcBorders>
            <w:vAlign w:val="center"/>
          </w:tcPr>
          <w:p w:rsidR="00FC4EDA" w:rsidRPr="005E43BA" w:rsidRDefault="00FC4EDA" w:rsidP="003C3236">
            <w:pPr>
              <w:pStyle w:val="Default"/>
              <w:autoSpaceDE/>
              <w:autoSpaceDN/>
              <w:adjustRightInd/>
              <w:jc w:val="center"/>
              <w:rPr>
                <w:rFonts w:ascii="Times New Roman"/>
                <w:color w:val="auto"/>
                <w:sz w:val="20"/>
                <w:szCs w:val="20"/>
              </w:rPr>
            </w:pPr>
            <w:r w:rsidRPr="005E43BA">
              <w:rPr>
                <w:rFonts w:ascii="Times New Roman" w:hint="eastAsia"/>
                <w:color w:val="auto"/>
                <w:sz w:val="20"/>
                <w:szCs w:val="20"/>
              </w:rPr>
              <w:t>100</w:t>
            </w:r>
            <w:r w:rsidRPr="005E43BA">
              <w:rPr>
                <w:rFonts w:ascii="Times New Roman" w:hint="eastAsia"/>
                <w:color w:val="auto"/>
                <w:sz w:val="20"/>
                <w:szCs w:val="20"/>
              </w:rPr>
              <w:t>％</w:t>
            </w:r>
          </w:p>
        </w:tc>
        <w:tc>
          <w:tcPr>
            <w:tcW w:w="1828" w:type="dxa"/>
            <w:vMerge w:val="restart"/>
            <w:vAlign w:val="center"/>
          </w:tcPr>
          <w:p w:rsidR="00FC4EDA" w:rsidRPr="005E43BA" w:rsidRDefault="00FC4EDA" w:rsidP="003C3236">
            <w:pPr>
              <w:rPr>
                <w:sz w:val="20"/>
                <w:szCs w:val="20"/>
              </w:rPr>
            </w:pPr>
            <w:r w:rsidRPr="005E43BA">
              <w:rPr>
                <w:rFonts w:cs="新細明體" w:hint="eastAsia"/>
                <w:sz w:val="20"/>
                <w:szCs w:val="20"/>
              </w:rPr>
              <w:t xml:space="preserve"> </w:t>
            </w:r>
            <w:r w:rsidRPr="005E43BA">
              <w:rPr>
                <w:rFonts w:cs="新細明體" w:hint="eastAsia"/>
                <w:sz w:val="20"/>
                <w:szCs w:val="20"/>
              </w:rPr>
              <w:t>一、財務管理</w:t>
            </w:r>
          </w:p>
        </w:tc>
      </w:tr>
      <w:tr w:rsidR="005E43BA" w:rsidRPr="005E43BA" w:rsidTr="003C3236">
        <w:trPr>
          <w:cantSplit/>
          <w:trHeight w:val="974"/>
          <w:jc w:val="center"/>
        </w:trPr>
        <w:tc>
          <w:tcPr>
            <w:tcW w:w="348" w:type="dxa"/>
            <w:tcBorders>
              <w:top w:val="single" w:sz="4" w:space="0" w:color="000000"/>
              <w:left w:val="single" w:sz="4" w:space="0" w:color="000000"/>
              <w:bottom w:val="single" w:sz="4" w:space="0" w:color="auto"/>
              <w:right w:val="single" w:sz="4" w:space="0" w:color="000000"/>
            </w:tcBorders>
            <w:vAlign w:val="center"/>
          </w:tcPr>
          <w:p w:rsidR="00FC4EDA" w:rsidRPr="005E43BA" w:rsidRDefault="00FC4EDA" w:rsidP="003C3236">
            <w:pPr>
              <w:pStyle w:val="Default"/>
              <w:autoSpaceDE/>
              <w:autoSpaceDN/>
              <w:adjustRightInd/>
              <w:jc w:val="center"/>
              <w:rPr>
                <w:rFonts w:ascii="Times New Roman"/>
                <w:color w:val="auto"/>
                <w:sz w:val="20"/>
                <w:szCs w:val="20"/>
              </w:rPr>
            </w:pPr>
            <w:r w:rsidRPr="005E43BA">
              <w:rPr>
                <w:rFonts w:ascii="Times New Roman" w:hint="eastAsia"/>
                <w:color w:val="auto"/>
                <w:sz w:val="20"/>
                <w:szCs w:val="20"/>
              </w:rPr>
              <w:t>二</w:t>
            </w:r>
          </w:p>
        </w:tc>
        <w:tc>
          <w:tcPr>
            <w:tcW w:w="1503" w:type="dxa"/>
            <w:tcBorders>
              <w:top w:val="single" w:sz="4" w:space="0" w:color="000000"/>
              <w:left w:val="single" w:sz="4" w:space="0" w:color="000000"/>
              <w:bottom w:val="single" w:sz="4" w:space="0" w:color="auto"/>
              <w:right w:val="single" w:sz="4" w:space="0" w:color="000000"/>
            </w:tcBorders>
            <w:vAlign w:val="center"/>
          </w:tcPr>
          <w:p w:rsidR="00FC4EDA" w:rsidRPr="005E43BA" w:rsidRDefault="00FC4EDA" w:rsidP="003C3236">
            <w:pPr>
              <w:pStyle w:val="Default"/>
              <w:autoSpaceDE/>
              <w:autoSpaceDN/>
              <w:adjustRightInd/>
              <w:jc w:val="both"/>
              <w:rPr>
                <w:rFonts w:ascii="Times New Roman"/>
                <w:color w:val="auto"/>
                <w:sz w:val="20"/>
                <w:szCs w:val="20"/>
              </w:rPr>
            </w:pPr>
            <w:r w:rsidRPr="005E43BA">
              <w:rPr>
                <w:rFonts w:ascii="Times New Roman" w:hint="eastAsia"/>
                <w:color w:val="auto"/>
                <w:sz w:val="20"/>
                <w:szCs w:val="20"/>
              </w:rPr>
              <w:t>圓滿達成年度歲入預算目標</w:t>
            </w:r>
          </w:p>
        </w:tc>
        <w:tc>
          <w:tcPr>
            <w:tcW w:w="349" w:type="dxa"/>
            <w:tcBorders>
              <w:top w:val="single" w:sz="4" w:space="0" w:color="000000"/>
              <w:left w:val="single" w:sz="4" w:space="0" w:color="000000"/>
              <w:bottom w:val="single" w:sz="4" w:space="0" w:color="000000"/>
              <w:right w:val="single" w:sz="4" w:space="0" w:color="000000"/>
            </w:tcBorders>
            <w:vAlign w:val="center"/>
          </w:tcPr>
          <w:p w:rsidR="00FC4EDA" w:rsidRPr="005E43BA" w:rsidRDefault="00FC4EDA" w:rsidP="003C3236">
            <w:pPr>
              <w:pStyle w:val="Default"/>
              <w:autoSpaceDE/>
              <w:autoSpaceDN/>
              <w:adjustRightInd/>
              <w:jc w:val="both"/>
              <w:rPr>
                <w:rFonts w:ascii="Times New Roman"/>
                <w:color w:val="auto"/>
                <w:sz w:val="20"/>
                <w:szCs w:val="20"/>
              </w:rPr>
            </w:pPr>
            <w:r w:rsidRPr="005E43BA">
              <w:rPr>
                <w:rFonts w:ascii="Times New Roman" w:hint="eastAsia"/>
                <w:color w:val="auto"/>
                <w:sz w:val="20"/>
                <w:szCs w:val="20"/>
              </w:rPr>
              <w:t xml:space="preserve"> </w:t>
            </w:r>
            <w:r w:rsidRPr="005E43BA">
              <w:rPr>
                <w:rFonts w:ascii="Times New Roman"/>
                <w:color w:val="auto"/>
                <w:sz w:val="20"/>
                <w:szCs w:val="20"/>
              </w:rPr>
              <w:t xml:space="preserve">2 </w:t>
            </w:r>
          </w:p>
        </w:tc>
        <w:tc>
          <w:tcPr>
            <w:tcW w:w="1503" w:type="dxa"/>
            <w:tcBorders>
              <w:top w:val="single" w:sz="4" w:space="0" w:color="000000"/>
              <w:left w:val="single" w:sz="4" w:space="0" w:color="000000"/>
              <w:bottom w:val="single" w:sz="4" w:space="0" w:color="000000"/>
              <w:right w:val="single" w:sz="4" w:space="0" w:color="000000"/>
            </w:tcBorders>
            <w:vAlign w:val="center"/>
          </w:tcPr>
          <w:p w:rsidR="00FC4EDA" w:rsidRPr="005E43BA" w:rsidRDefault="00FC4EDA" w:rsidP="003C3236">
            <w:pPr>
              <w:pStyle w:val="Default"/>
              <w:autoSpaceDE/>
              <w:autoSpaceDN/>
              <w:adjustRightInd/>
              <w:jc w:val="both"/>
              <w:rPr>
                <w:rFonts w:ascii="Times New Roman"/>
                <w:color w:val="auto"/>
                <w:sz w:val="20"/>
                <w:szCs w:val="20"/>
              </w:rPr>
            </w:pPr>
            <w:r w:rsidRPr="005E43BA">
              <w:rPr>
                <w:rFonts w:ascii="Times New Roman" w:hint="eastAsia"/>
                <w:color w:val="auto"/>
                <w:sz w:val="20"/>
                <w:szCs w:val="20"/>
              </w:rPr>
              <w:t>歲入預算達成率</w:t>
            </w:r>
          </w:p>
        </w:tc>
        <w:tc>
          <w:tcPr>
            <w:tcW w:w="926" w:type="dxa"/>
            <w:tcBorders>
              <w:top w:val="single" w:sz="4" w:space="0" w:color="000000"/>
              <w:left w:val="single" w:sz="4" w:space="0" w:color="000000"/>
              <w:bottom w:val="single" w:sz="4" w:space="0" w:color="000000"/>
              <w:right w:val="single" w:sz="4" w:space="0" w:color="000000"/>
            </w:tcBorders>
            <w:vAlign w:val="center"/>
          </w:tcPr>
          <w:p w:rsidR="00FC4EDA" w:rsidRPr="005E43BA" w:rsidRDefault="00FC4EDA" w:rsidP="003C3236">
            <w:pPr>
              <w:pStyle w:val="Default"/>
              <w:autoSpaceDE/>
              <w:autoSpaceDN/>
              <w:adjustRightInd/>
              <w:rPr>
                <w:rFonts w:ascii="Times New Roman"/>
                <w:color w:val="auto"/>
                <w:sz w:val="20"/>
                <w:szCs w:val="20"/>
              </w:rPr>
            </w:pPr>
            <w:r w:rsidRPr="005E43BA">
              <w:rPr>
                <w:rFonts w:ascii="Times New Roman" w:hint="eastAsia"/>
                <w:color w:val="auto"/>
                <w:sz w:val="20"/>
                <w:szCs w:val="20"/>
              </w:rPr>
              <w:t>統計數據</w:t>
            </w:r>
          </w:p>
        </w:tc>
        <w:tc>
          <w:tcPr>
            <w:tcW w:w="2185" w:type="dxa"/>
            <w:tcBorders>
              <w:top w:val="single" w:sz="4" w:space="0" w:color="000000"/>
              <w:left w:val="single" w:sz="4" w:space="0" w:color="000000"/>
              <w:bottom w:val="single" w:sz="4" w:space="0" w:color="000000"/>
              <w:right w:val="single" w:sz="4" w:space="0" w:color="000000"/>
            </w:tcBorders>
            <w:vAlign w:val="center"/>
          </w:tcPr>
          <w:p w:rsidR="00FC4EDA" w:rsidRPr="005E43BA" w:rsidRDefault="00FC4EDA" w:rsidP="003C3236">
            <w:pPr>
              <w:pStyle w:val="Default"/>
              <w:autoSpaceDE/>
              <w:autoSpaceDN/>
              <w:adjustRightInd/>
              <w:rPr>
                <w:rFonts w:ascii="Times New Roman"/>
                <w:color w:val="auto"/>
                <w:sz w:val="20"/>
                <w:szCs w:val="20"/>
              </w:rPr>
            </w:pPr>
            <w:r w:rsidRPr="005E43BA">
              <w:rPr>
                <w:rFonts w:ascii="Times New Roman" w:hint="eastAsia"/>
                <w:color w:val="auto"/>
                <w:sz w:val="20"/>
                <w:szCs w:val="20"/>
              </w:rPr>
              <w:t>年度決算以達預算數</w:t>
            </w:r>
            <w:r w:rsidRPr="005E43BA">
              <w:rPr>
                <w:rFonts w:ascii="Times New Roman" w:hint="eastAsia"/>
                <w:color w:val="auto"/>
                <w:sz w:val="20"/>
                <w:szCs w:val="20"/>
              </w:rPr>
              <w:t>90</w:t>
            </w:r>
            <w:r w:rsidRPr="005E43BA">
              <w:rPr>
                <w:rFonts w:ascii="Times New Roman" w:hint="eastAsia"/>
                <w:color w:val="auto"/>
                <w:sz w:val="20"/>
                <w:szCs w:val="20"/>
              </w:rPr>
              <w:t>％</w:t>
            </w:r>
          </w:p>
        </w:tc>
        <w:tc>
          <w:tcPr>
            <w:tcW w:w="957" w:type="dxa"/>
            <w:tcBorders>
              <w:top w:val="single" w:sz="4" w:space="0" w:color="000000"/>
              <w:left w:val="single" w:sz="4" w:space="0" w:color="000000"/>
              <w:bottom w:val="single" w:sz="4" w:space="0" w:color="000000"/>
              <w:right w:val="single" w:sz="4" w:space="0" w:color="000000"/>
            </w:tcBorders>
            <w:vAlign w:val="center"/>
          </w:tcPr>
          <w:p w:rsidR="00FC4EDA" w:rsidRPr="005E43BA" w:rsidRDefault="00FC4EDA" w:rsidP="003C3236">
            <w:pPr>
              <w:pStyle w:val="Default"/>
              <w:autoSpaceDE/>
              <w:autoSpaceDN/>
              <w:adjustRightInd/>
              <w:jc w:val="center"/>
              <w:rPr>
                <w:rFonts w:ascii="Times New Roman"/>
                <w:color w:val="auto"/>
                <w:sz w:val="20"/>
                <w:szCs w:val="20"/>
              </w:rPr>
            </w:pPr>
            <w:r w:rsidRPr="005E43BA">
              <w:rPr>
                <w:rFonts w:ascii="Times New Roman" w:hint="eastAsia"/>
                <w:color w:val="auto"/>
                <w:sz w:val="20"/>
                <w:szCs w:val="20"/>
              </w:rPr>
              <w:t>100</w:t>
            </w:r>
            <w:r w:rsidRPr="005E43BA">
              <w:rPr>
                <w:rFonts w:ascii="Times New Roman" w:hint="eastAsia"/>
                <w:color w:val="auto"/>
                <w:sz w:val="20"/>
                <w:szCs w:val="20"/>
              </w:rPr>
              <w:t>％</w:t>
            </w:r>
          </w:p>
        </w:tc>
        <w:tc>
          <w:tcPr>
            <w:tcW w:w="1828" w:type="dxa"/>
            <w:vMerge/>
            <w:vAlign w:val="center"/>
          </w:tcPr>
          <w:p w:rsidR="00FC4EDA" w:rsidRPr="005E43BA" w:rsidRDefault="00FC4EDA" w:rsidP="003C3236">
            <w:pPr>
              <w:rPr>
                <w:sz w:val="20"/>
                <w:szCs w:val="20"/>
              </w:rPr>
            </w:pPr>
          </w:p>
        </w:tc>
      </w:tr>
      <w:tr w:rsidR="005E43BA" w:rsidRPr="005E43BA" w:rsidTr="003C3236">
        <w:trPr>
          <w:cantSplit/>
          <w:trHeight w:val="1440"/>
          <w:jc w:val="center"/>
        </w:trPr>
        <w:tc>
          <w:tcPr>
            <w:tcW w:w="348" w:type="dxa"/>
            <w:vMerge w:val="restart"/>
            <w:vAlign w:val="center"/>
          </w:tcPr>
          <w:p w:rsidR="00FC4EDA" w:rsidRPr="005E43BA" w:rsidRDefault="008775AE" w:rsidP="003C3236">
            <w:pPr>
              <w:jc w:val="center"/>
              <w:rPr>
                <w:sz w:val="20"/>
                <w:szCs w:val="20"/>
              </w:rPr>
            </w:pPr>
            <w:r w:rsidRPr="005E43BA">
              <w:rPr>
                <w:rFonts w:hint="eastAsia"/>
                <w:sz w:val="20"/>
                <w:szCs w:val="20"/>
              </w:rPr>
              <w:t>三</w:t>
            </w:r>
          </w:p>
        </w:tc>
        <w:tc>
          <w:tcPr>
            <w:tcW w:w="1503" w:type="dxa"/>
            <w:vMerge w:val="restart"/>
            <w:vAlign w:val="center"/>
          </w:tcPr>
          <w:p w:rsidR="00FC4EDA" w:rsidRPr="005E43BA" w:rsidRDefault="00FC4EDA" w:rsidP="003C3236">
            <w:pPr>
              <w:jc w:val="both"/>
              <w:rPr>
                <w:sz w:val="20"/>
                <w:szCs w:val="20"/>
              </w:rPr>
            </w:pPr>
            <w:r w:rsidRPr="005E43BA">
              <w:rPr>
                <w:rFonts w:cs="新細明體" w:hint="eastAsia"/>
                <w:sz w:val="20"/>
                <w:szCs w:val="20"/>
              </w:rPr>
              <w:t>建置產籍完整資料檔及處分</w:t>
            </w:r>
          </w:p>
        </w:tc>
        <w:tc>
          <w:tcPr>
            <w:tcW w:w="349" w:type="dxa"/>
            <w:vMerge w:val="restart"/>
            <w:vAlign w:val="center"/>
          </w:tcPr>
          <w:p w:rsidR="00FC4EDA" w:rsidRPr="005E43BA" w:rsidRDefault="008775AE" w:rsidP="003C3236">
            <w:pPr>
              <w:jc w:val="center"/>
              <w:rPr>
                <w:sz w:val="20"/>
                <w:szCs w:val="20"/>
              </w:rPr>
            </w:pPr>
            <w:r w:rsidRPr="005E43BA">
              <w:rPr>
                <w:rFonts w:hint="eastAsia"/>
                <w:sz w:val="20"/>
                <w:szCs w:val="20"/>
              </w:rPr>
              <w:t>3</w:t>
            </w:r>
          </w:p>
        </w:tc>
        <w:tc>
          <w:tcPr>
            <w:tcW w:w="1503" w:type="dxa"/>
            <w:vMerge w:val="restart"/>
            <w:vAlign w:val="center"/>
          </w:tcPr>
          <w:p w:rsidR="00FC4EDA" w:rsidRPr="005E43BA" w:rsidRDefault="00FC4EDA" w:rsidP="003C3236">
            <w:pPr>
              <w:rPr>
                <w:sz w:val="20"/>
                <w:szCs w:val="20"/>
              </w:rPr>
            </w:pPr>
            <w:r w:rsidRPr="005E43BA">
              <w:rPr>
                <w:rFonts w:cs="新細明體" w:hint="eastAsia"/>
                <w:sz w:val="20"/>
                <w:szCs w:val="20"/>
              </w:rPr>
              <w:t>釐整異動縣產資料庫及占用管理資訊系統及建置公有土地銀行資料庫</w:t>
            </w:r>
          </w:p>
        </w:tc>
        <w:tc>
          <w:tcPr>
            <w:tcW w:w="926" w:type="dxa"/>
            <w:vMerge w:val="restart"/>
            <w:vAlign w:val="center"/>
          </w:tcPr>
          <w:p w:rsidR="00FC4EDA" w:rsidRPr="005E43BA" w:rsidRDefault="00FC4EDA" w:rsidP="003C3236">
            <w:pPr>
              <w:jc w:val="both"/>
              <w:rPr>
                <w:sz w:val="20"/>
                <w:szCs w:val="20"/>
              </w:rPr>
            </w:pPr>
            <w:r w:rsidRPr="005E43BA">
              <w:rPr>
                <w:rFonts w:cs="新細明體" w:hint="eastAsia"/>
                <w:sz w:val="20"/>
                <w:szCs w:val="20"/>
              </w:rPr>
              <w:t>統計數據</w:t>
            </w:r>
          </w:p>
        </w:tc>
        <w:tc>
          <w:tcPr>
            <w:tcW w:w="2185" w:type="dxa"/>
            <w:vAlign w:val="center"/>
          </w:tcPr>
          <w:p w:rsidR="00FC4EDA" w:rsidRPr="005E43BA" w:rsidRDefault="00FC4EDA" w:rsidP="003C3236">
            <w:pPr>
              <w:jc w:val="both"/>
              <w:rPr>
                <w:sz w:val="20"/>
                <w:szCs w:val="20"/>
              </w:rPr>
            </w:pPr>
            <w:r w:rsidRPr="005E43BA">
              <w:rPr>
                <w:rFonts w:cs="新細明體" w:hint="eastAsia"/>
                <w:bCs/>
                <w:sz w:val="20"/>
                <w:szCs w:val="20"/>
              </w:rPr>
              <w:t>辦理釐整異動縣產</w:t>
            </w:r>
            <w:r w:rsidRPr="005E43BA">
              <w:rPr>
                <w:rFonts w:cs="新細明體" w:hint="eastAsia"/>
                <w:sz w:val="20"/>
                <w:szCs w:val="20"/>
              </w:rPr>
              <w:t>資產資料庫及占用管理資訊系統建置之縣有不動產資料筆數</w:t>
            </w:r>
          </w:p>
        </w:tc>
        <w:tc>
          <w:tcPr>
            <w:tcW w:w="957" w:type="dxa"/>
            <w:vAlign w:val="center"/>
          </w:tcPr>
          <w:p w:rsidR="00FC4EDA" w:rsidRPr="005E43BA" w:rsidRDefault="00FC4EDA" w:rsidP="003C3236">
            <w:pPr>
              <w:jc w:val="center"/>
              <w:rPr>
                <w:sz w:val="20"/>
                <w:szCs w:val="20"/>
              </w:rPr>
            </w:pPr>
            <w:r w:rsidRPr="005E43BA">
              <w:rPr>
                <w:rFonts w:hint="eastAsia"/>
                <w:sz w:val="20"/>
                <w:szCs w:val="20"/>
              </w:rPr>
              <w:t>12</w:t>
            </w:r>
            <w:r w:rsidRPr="005E43BA">
              <w:rPr>
                <w:rFonts w:cs="新細明體" w:hint="eastAsia"/>
                <w:kern w:val="0"/>
                <w:sz w:val="20"/>
                <w:szCs w:val="20"/>
              </w:rPr>
              <w:t>,413</w:t>
            </w:r>
            <w:r w:rsidRPr="005E43BA">
              <w:rPr>
                <w:rFonts w:cs="新細明體" w:hint="eastAsia"/>
                <w:sz w:val="20"/>
                <w:szCs w:val="20"/>
              </w:rPr>
              <w:t>筆</w:t>
            </w:r>
          </w:p>
        </w:tc>
        <w:tc>
          <w:tcPr>
            <w:tcW w:w="1828" w:type="dxa"/>
            <w:vMerge w:val="restart"/>
            <w:vAlign w:val="center"/>
          </w:tcPr>
          <w:p w:rsidR="00FC4EDA" w:rsidRPr="005E43BA" w:rsidRDefault="008775AE" w:rsidP="008775AE">
            <w:pPr>
              <w:rPr>
                <w:rFonts w:cs="新細明體"/>
                <w:sz w:val="20"/>
                <w:szCs w:val="20"/>
              </w:rPr>
            </w:pPr>
            <w:r w:rsidRPr="005E43BA">
              <w:rPr>
                <w:rFonts w:cs="新細明體" w:hint="eastAsia"/>
                <w:sz w:val="20"/>
                <w:szCs w:val="20"/>
              </w:rPr>
              <w:t>三</w:t>
            </w:r>
            <w:r w:rsidR="00FC4EDA" w:rsidRPr="005E43BA">
              <w:rPr>
                <w:rFonts w:cs="新細明體" w:hint="eastAsia"/>
                <w:sz w:val="20"/>
                <w:szCs w:val="20"/>
              </w:rPr>
              <w:t>、公產管理</w:t>
            </w:r>
          </w:p>
        </w:tc>
      </w:tr>
      <w:tr w:rsidR="005E43BA" w:rsidRPr="005E43BA" w:rsidTr="003C3236">
        <w:trPr>
          <w:cantSplit/>
          <w:trHeight w:val="1440"/>
          <w:jc w:val="center"/>
        </w:trPr>
        <w:tc>
          <w:tcPr>
            <w:tcW w:w="348" w:type="dxa"/>
            <w:vMerge/>
            <w:vAlign w:val="center"/>
          </w:tcPr>
          <w:p w:rsidR="00FC4EDA" w:rsidRPr="005E43BA" w:rsidRDefault="00FC4EDA" w:rsidP="003C3236">
            <w:pPr>
              <w:jc w:val="center"/>
              <w:rPr>
                <w:sz w:val="20"/>
                <w:szCs w:val="20"/>
              </w:rPr>
            </w:pPr>
          </w:p>
        </w:tc>
        <w:tc>
          <w:tcPr>
            <w:tcW w:w="1503" w:type="dxa"/>
            <w:vMerge/>
            <w:vAlign w:val="center"/>
          </w:tcPr>
          <w:p w:rsidR="00FC4EDA" w:rsidRPr="005E43BA" w:rsidRDefault="00FC4EDA" w:rsidP="003C3236">
            <w:pPr>
              <w:jc w:val="both"/>
              <w:rPr>
                <w:sz w:val="20"/>
                <w:szCs w:val="20"/>
              </w:rPr>
            </w:pPr>
          </w:p>
        </w:tc>
        <w:tc>
          <w:tcPr>
            <w:tcW w:w="349" w:type="dxa"/>
            <w:vMerge/>
            <w:vAlign w:val="center"/>
          </w:tcPr>
          <w:p w:rsidR="00FC4EDA" w:rsidRPr="005E43BA" w:rsidRDefault="00FC4EDA" w:rsidP="003C3236">
            <w:pPr>
              <w:jc w:val="center"/>
              <w:rPr>
                <w:sz w:val="20"/>
                <w:szCs w:val="20"/>
              </w:rPr>
            </w:pPr>
          </w:p>
        </w:tc>
        <w:tc>
          <w:tcPr>
            <w:tcW w:w="1503" w:type="dxa"/>
            <w:vMerge/>
            <w:vAlign w:val="center"/>
          </w:tcPr>
          <w:p w:rsidR="00FC4EDA" w:rsidRPr="005E43BA" w:rsidRDefault="00FC4EDA" w:rsidP="003C3236">
            <w:pPr>
              <w:rPr>
                <w:sz w:val="20"/>
                <w:szCs w:val="20"/>
              </w:rPr>
            </w:pPr>
          </w:p>
        </w:tc>
        <w:tc>
          <w:tcPr>
            <w:tcW w:w="926" w:type="dxa"/>
            <w:vMerge/>
            <w:vAlign w:val="center"/>
          </w:tcPr>
          <w:p w:rsidR="00FC4EDA" w:rsidRPr="005E43BA" w:rsidRDefault="00FC4EDA" w:rsidP="003C3236">
            <w:pPr>
              <w:jc w:val="both"/>
              <w:rPr>
                <w:sz w:val="20"/>
                <w:szCs w:val="20"/>
              </w:rPr>
            </w:pPr>
          </w:p>
        </w:tc>
        <w:tc>
          <w:tcPr>
            <w:tcW w:w="2185" w:type="dxa"/>
            <w:vAlign w:val="center"/>
          </w:tcPr>
          <w:p w:rsidR="00FC4EDA" w:rsidRPr="005E43BA" w:rsidRDefault="00FC4EDA" w:rsidP="003C3236">
            <w:pPr>
              <w:rPr>
                <w:bCs/>
                <w:sz w:val="20"/>
                <w:szCs w:val="20"/>
              </w:rPr>
            </w:pPr>
            <w:r w:rsidRPr="005E43BA">
              <w:rPr>
                <w:rFonts w:cs="新細明體" w:hint="eastAsia"/>
                <w:sz w:val="20"/>
                <w:szCs w:val="20"/>
              </w:rPr>
              <w:t>公有土地資料筆數</w:t>
            </w:r>
          </w:p>
        </w:tc>
        <w:tc>
          <w:tcPr>
            <w:tcW w:w="957" w:type="dxa"/>
            <w:vAlign w:val="center"/>
          </w:tcPr>
          <w:p w:rsidR="00FC4EDA" w:rsidRPr="005E43BA" w:rsidRDefault="00FC4EDA" w:rsidP="00A755EB">
            <w:pPr>
              <w:jc w:val="center"/>
              <w:rPr>
                <w:rFonts w:cs="新細明體"/>
                <w:kern w:val="0"/>
                <w:sz w:val="20"/>
                <w:szCs w:val="20"/>
              </w:rPr>
            </w:pPr>
            <w:r w:rsidRPr="005E43BA">
              <w:rPr>
                <w:rFonts w:hint="eastAsia"/>
                <w:sz w:val="20"/>
                <w:szCs w:val="20"/>
              </w:rPr>
              <w:t>6</w:t>
            </w:r>
            <w:r w:rsidR="00A755EB" w:rsidRPr="005E43BA">
              <w:rPr>
                <w:rFonts w:hint="eastAsia"/>
                <w:sz w:val="20"/>
                <w:szCs w:val="20"/>
              </w:rPr>
              <w:t>3</w:t>
            </w:r>
            <w:r w:rsidRPr="005E43BA">
              <w:rPr>
                <w:rFonts w:cs="新細明體" w:hint="eastAsia"/>
                <w:kern w:val="0"/>
                <w:sz w:val="20"/>
                <w:szCs w:val="20"/>
              </w:rPr>
              <w:t>,</w:t>
            </w:r>
            <w:r w:rsidR="00A755EB" w:rsidRPr="005E43BA">
              <w:rPr>
                <w:rFonts w:cs="新細明體" w:hint="eastAsia"/>
                <w:kern w:val="0"/>
                <w:sz w:val="20"/>
                <w:szCs w:val="20"/>
              </w:rPr>
              <w:t>512</w:t>
            </w:r>
            <w:r w:rsidRPr="005E43BA">
              <w:rPr>
                <w:rFonts w:cs="新細明體" w:hint="eastAsia"/>
                <w:sz w:val="20"/>
                <w:szCs w:val="20"/>
              </w:rPr>
              <w:t>筆</w:t>
            </w:r>
          </w:p>
        </w:tc>
        <w:tc>
          <w:tcPr>
            <w:tcW w:w="1828" w:type="dxa"/>
            <w:vMerge/>
            <w:vAlign w:val="center"/>
          </w:tcPr>
          <w:p w:rsidR="00FC4EDA" w:rsidRPr="005E43BA" w:rsidRDefault="00FC4EDA" w:rsidP="003C3236">
            <w:pPr>
              <w:rPr>
                <w:rFonts w:cs="新細明體"/>
                <w:sz w:val="20"/>
                <w:szCs w:val="20"/>
              </w:rPr>
            </w:pPr>
          </w:p>
        </w:tc>
      </w:tr>
      <w:tr w:rsidR="005E43BA" w:rsidRPr="005E43BA" w:rsidTr="003C3236">
        <w:trPr>
          <w:cantSplit/>
          <w:trHeight w:val="1040"/>
          <w:jc w:val="center"/>
        </w:trPr>
        <w:tc>
          <w:tcPr>
            <w:tcW w:w="348" w:type="dxa"/>
            <w:vMerge/>
            <w:vAlign w:val="center"/>
          </w:tcPr>
          <w:p w:rsidR="00FC4EDA" w:rsidRPr="005E43BA" w:rsidRDefault="00FC4EDA" w:rsidP="003C3236">
            <w:pPr>
              <w:jc w:val="center"/>
              <w:rPr>
                <w:sz w:val="20"/>
                <w:szCs w:val="20"/>
              </w:rPr>
            </w:pPr>
          </w:p>
        </w:tc>
        <w:tc>
          <w:tcPr>
            <w:tcW w:w="1503" w:type="dxa"/>
            <w:vMerge/>
            <w:vAlign w:val="center"/>
          </w:tcPr>
          <w:p w:rsidR="00FC4EDA" w:rsidRPr="005E43BA" w:rsidRDefault="00FC4EDA" w:rsidP="003C3236">
            <w:pPr>
              <w:rPr>
                <w:sz w:val="20"/>
                <w:szCs w:val="20"/>
              </w:rPr>
            </w:pPr>
          </w:p>
        </w:tc>
        <w:tc>
          <w:tcPr>
            <w:tcW w:w="349" w:type="dxa"/>
            <w:vAlign w:val="center"/>
          </w:tcPr>
          <w:p w:rsidR="00FC4EDA" w:rsidRPr="005E43BA" w:rsidRDefault="008775AE" w:rsidP="003C3236">
            <w:pPr>
              <w:jc w:val="center"/>
              <w:rPr>
                <w:sz w:val="20"/>
                <w:szCs w:val="20"/>
              </w:rPr>
            </w:pPr>
            <w:r w:rsidRPr="005E43BA">
              <w:rPr>
                <w:rFonts w:hint="eastAsia"/>
                <w:sz w:val="20"/>
                <w:szCs w:val="20"/>
              </w:rPr>
              <w:t>4</w:t>
            </w:r>
          </w:p>
        </w:tc>
        <w:tc>
          <w:tcPr>
            <w:tcW w:w="1503" w:type="dxa"/>
            <w:vAlign w:val="center"/>
          </w:tcPr>
          <w:p w:rsidR="00FC4EDA" w:rsidRPr="005E43BA" w:rsidRDefault="00FC4EDA" w:rsidP="003C3236">
            <w:pPr>
              <w:topLinePunct/>
              <w:ind w:left="2" w:rightChars="20" w:right="48" w:hanging="2"/>
              <w:rPr>
                <w:sz w:val="20"/>
                <w:szCs w:val="20"/>
              </w:rPr>
            </w:pPr>
            <w:r w:rsidRPr="005E43BA">
              <w:rPr>
                <w:rFonts w:cs="新細明體" w:hint="eastAsia"/>
                <w:sz w:val="20"/>
                <w:szCs w:val="20"/>
              </w:rPr>
              <w:t>辦理縣有財產出租、出售等業務處分收益</w:t>
            </w:r>
          </w:p>
        </w:tc>
        <w:tc>
          <w:tcPr>
            <w:tcW w:w="926" w:type="dxa"/>
            <w:vAlign w:val="center"/>
          </w:tcPr>
          <w:p w:rsidR="00FC4EDA" w:rsidRPr="005E43BA" w:rsidRDefault="00FC4EDA" w:rsidP="003C3236">
            <w:pPr>
              <w:rPr>
                <w:sz w:val="20"/>
                <w:szCs w:val="20"/>
              </w:rPr>
            </w:pPr>
            <w:r w:rsidRPr="005E43BA">
              <w:rPr>
                <w:rFonts w:cs="新細明體" w:hint="eastAsia"/>
                <w:sz w:val="20"/>
                <w:szCs w:val="20"/>
              </w:rPr>
              <w:t>統計數據</w:t>
            </w:r>
          </w:p>
        </w:tc>
        <w:tc>
          <w:tcPr>
            <w:tcW w:w="2185" w:type="dxa"/>
            <w:vAlign w:val="center"/>
          </w:tcPr>
          <w:p w:rsidR="00FC4EDA" w:rsidRPr="005E43BA" w:rsidRDefault="00FC4EDA" w:rsidP="003C3236">
            <w:pPr>
              <w:jc w:val="both"/>
              <w:rPr>
                <w:sz w:val="20"/>
                <w:szCs w:val="20"/>
              </w:rPr>
            </w:pPr>
            <w:r w:rsidRPr="005E43BA">
              <w:rPr>
                <w:rFonts w:cs="新細明體" w:hint="eastAsia"/>
                <w:sz w:val="20"/>
                <w:szCs w:val="20"/>
              </w:rPr>
              <w:t>縣有財產出租、出售不動產業務之戶數</w:t>
            </w:r>
          </w:p>
        </w:tc>
        <w:tc>
          <w:tcPr>
            <w:tcW w:w="957" w:type="dxa"/>
            <w:vAlign w:val="center"/>
          </w:tcPr>
          <w:p w:rsidR="00FC4EDA" w:rsidRPr="005E43BA" w:rsidRDefault="00FC4EDA" w:rsidP="003C3236">
            <w:pPr>
              <w:jc w:val="center"/>
              <w:rPr>
                <w:sz w:val="20"/>
                <w:szCs w:val="20"/>
              </w:rPr>
            </w:pPr>
            <w:r w:rsidRPr="005E43BA">
              <w:rPr>
                <w:rFonts w:hint="eastAsia"/>
                <w:sz w:val="20"/>
                <w:szCs w:val="20"/>
              </w:rPr>
              <w:t>76</w:t>
            </w:r>
            <w:r w:rsidRPr="005E43BA">
              <w:rPr>
                <w:rFonts w:cs="新細明體" w:hint="eastAsia"/>
                <w:sz w:val="20"/>
                <w:szCs w:val="20"/>
              </w:rPr>
              <w:t>戶</w:t>
            </w:r>
          </w:p>
        </w:tc>
        <w:tc>
          <w:tcPr>
            <w:tcW w:w="1828" w:type="dxa"/>
            <w:vMerge/>
            <w:vAlign w:val="center"/>
          </w:tcPr>
          <w:p w:rsidR="00FC4EDA" w:rsidRPr="005E43BA" w:rsidRDefault="00FC4EDA" w:rsidP="003C3236">
            <w:pPr>
              <w:rPr>
                <w:sz w:val="20"/>
                <w:szCs w:val="20"/>
              </w:rPr>
            </w:pPr>
          </w:p>
        </w:tc>
      </w:tr>
      <w:tr w:rsidR="005E43BA" w:rsidRPr="005E43BA" w:rsidTr="003C3236">
        <w:trPr>
          <w:cantSplit/>
          <w:trHeight w:val="205"/>
          <w:jc w:val="center"/>
        </w:trPr>
        <w:tc>
          <w:tcPr>
            <w:tcW w:w="348" w:type="dxa"/>
            <w:vAlign w:val="center"/>
          </w:tcPr>
          <w:p w:rsidR="00FC4EDA" w:rsidRPr="005E43BA" w:rsidRDefault="008775AE" w:rsidP="003C3236">
            <w:pPr>
              <w:jc w:val="center"/>
              <w:rPr>
                <w:sz w:val="20"/>
                <w:szCs w:val="20"/>
              </w:rPr>
            </w:pPr>
            <w:r w:rsidRPr="005E43BA">
              <w:rPr>
                <w:rFonts w:hint="eastAsia"/>
                <w:sz w:val="20"/>
                <w:szCs w:val="20"/>
              </w:rPr>
              <w:t>四</w:t>
            </w:r>
          </w:p>
        </w:tc>
        <w:tc>
          <w:tcPr>
            <w:tcW w:w="1503" w:type="dxa"/>
            <w:vAlign w:val="center"/>
          </w:tcPr>
          <w:p w:rsidR="00FC4EDA" w:rsidRPr="005E43BA" w:rsidRDefault="00FC4EDA" w:rsidP="003C3236">
            <w:pPr>
              <w:jc w:val="both"/>
              <w:rPr>
                <w:sz w:val="20"/>
                <w:szCs w:val="20"/>
              </w:rPr>
            </w:pPr>
            <w:r w:rsidRPr="005E43BA">
              <w:rPr>
                <w:rFonts w:cs="新細明體" w:hint="eastAsia"/>
                <w:sz w:val="20"/>
                <w:szCs w:val="20"/>
              </w:rPr>
              <w:t>公用財產清查及盤點檢評</w:t>
            </w:r>
          </w:p>
        </w:tc>
        <w:tc>
          <w:tcPr>
            <w:tcW w:w="349" w:type="dxa"/>
            <w:vAlign w:val="center"/>
          </w:tcPr>
          <w:p w:rsidR="00FC4EDA" w:rsidRPr="005E43BA" w:rsidRDefault="008775AE" w:rsidP="003C3236">
            <w:pPr>
              <w:jc w:val="center"/>
              <w:rPr>
                <w:sz w:val="20"/>
                <w:szCs w:val="20"/>
              </w:rPr>
            </w:pPr>
            <w:r w:rsidRPr="005E43BA">
              <w:rPr>
                <w:rFonts w:hint="eastAsia"/>
                <w:sz w:val="20"/>
                <w:szCs w:val="20"/>
              </w:rPr>
              <w:t>5</w:t>
            </w:r>
          </w:p>
        </w:tc>
        <w:tc>
          <w:tcPr>
            <w:tcW w:w="1503" w:type="dxa"/>
            <w:vAlign w:val="center"/>
          </w:tcPr>
          <w:p w:rsidR="00FC4EDA" w:rsidRPr="005E43BA" w:rsidRDefault="00FC4EDA" w:rsidP="003C3236">
            <w:pPr>
              <w:jc w:val="both"/>
              <w:rPr>
                <w:sz w:val="20"/>
                <w:szCs w:val="20"/>
              </w:rPr>
            </w:pPr>
            <w:r w:rsidRPr="005E43BA">
              <w:rPr>
                <w:rFonts w:cs="新細明體" w:hint="eastAsia"/>
                <w:sz w:val="20"/>
                <w:szCs w:val="20"/>
              </w:rPr>
              <w:t>辦理各機關學校公有財產檢核及盤點計畫之落實度</w:t>
            </w:r>
          </w:p>
        </w:tc>
        <w:tc>
          <w:tcPr>
            <w:tcW w:w="926" w:type="dxa"/>
            <w:vAlign w:val="center"/>
          </w:tcPr>
          <w:p w:rsidR="00FC4EDA" w:rsidRPr="005E43BA" w:rsidRDefault="00FC4EDA" w:rsidP="003C3236">
            <w:pPr>
              <w:jc w:val="both"/>
              <w:rPr>
                <w:sz w:val="20"/>
                <w:szCs w:val="20"/>
              </w:rPr>
            </w:pPr>
            <w:r w:rsidRPr="005E43BA">
              <w:rPr>
                <w:rFonts w:hint="eastAsia"/>
                <w:sz w:val="20"/>
                <w:szCs w:val="20"/>
              </w:rPr>
              <w:t>11</w:t>
            </w:r>
            <w:r w:rsidRPr="005E43BA">
              <w:rPr>
                <w:rFonts w:cs="新細明體" w:hint="eastAsia"/>
                <w:sz w:val="20"/>
                <w:szCs w:val="20"/>
              </w:rPr>
              <w:t>月考評</w:t>
            </w:r>
          </w:p>
        </w:tc>
        <w:tc>
          <w:tcPr>
            <w:tcW w:w="2185" w:type="dxa"/>
            <w:vAlign w:val="center"/>
          </w:tcPr>
          <w:p w:rsidR="00FC4EDA" w:rsidRPr="005E43BA" w:rsidRDefault="00FC4EDA" w:rsidP="003C3236">
            <w:pPr>
              <w:jc w:val="both"/>
              <w:rPr>
                <w:sz w:val="20"/>
                <w:szCs w:val="20"/>
              </w:rPr>
            </w:pPr>
            <w:r w:rsidRPr="005E43BA">
              <w:rPr>
                <w:rFonts w:cs="新細明體" w:hint="eastAsia"/>
                <w:sz w:val="20"/>
                <w:szCs w:val="20"/>
              </w:rPr>
              <w:t>逐年辦理公有財產檢核累進機關數，本年抽檢各機關學校</w:t>
            </w:r>
            <w:r w:rsidRPr="005E43BA">
              <w:rPr>
                <w:rFonts w:hint="eastAsia"/>
                <w:sz w:val="20"/>
                <w:szCs w:val="20"/>
              </w:rPr>
              <w:t>1/3</w:t>
            </w:r>
            <w:r w:rsidRPr="005E43BA">
              <w:rPr>
                <w:rFonts w:cs="新細明體" w:hint="eastAsia"/>
                <w:sz w:val="20"/>
                <w:szCs w:val="20"/>
              </w:rPr>
              <w:t>單位受檢各管理、使用、收益、處分或開發利用及財產盤點依查核表評分</w:t>
            </w:r>
          </w:p>
        </w:tc>
        <w:tc>
          <w:tcPr>
            <w:tcW w:w="957" w:type="dxa"/>
            <w:vAlign w:val="center"/>
          </w:tcPr>
          <w:p w:rsidR="00FC4EDA" w:rsidRPr="005E43BA" w:rsidRDefault="00FC4EDA" w:rsidP="003C3236">
            <w:pPr>
              <w:jc w:val="center"/>
              <w:rPr>
                <w:sz w:val="20"/>
                <w:szCs w:val="20"/>
              </w:rPr>
            </w:pPr>
            <w:r w:rsidRPr="005E43BA">
              <w:rPr>
                <w:rFonts w:hint="eastAsia"/>
                <w:sz w:val="20"/>
                <w:szCs w:val="20"/>
              </w:rPr>
              <w:t>25</w:t>
            </w:r>
            <w:r w:rsidRPr="005E43BA">
              <w:rPr>
                <w:rFonts w:cs="新細明體" w:hint="eastAsia"/>
                <w:sz w:val="20"/>
                <w:szCs w:val="20"/>
              </w:rPr>
              <w:t>單位</w:t>
            </w:r>
          </w:p>
        </w:tc>
        <w:tc>
          <w:tcPr>
            <w:tcW w:w="1828" w:type="dxa"/>
            <w:vMerge/>
            <w:vAlign w:val="center"/>
          </w:tcPr>
          <w:p w:rsidR="00FC4EDA" w:rsidRPr="005E43BA" w:rsidRDefault="00FC4EDA" w:rsidP="003C3236">
            <w:pPr>
              <w:rPr>
                <w:sz w:val="20"/>
                <w:szCs w:val="20"/>
              </w:rPr>
            </w:pPr>
          </w:p>
        </w:tc>
      </w:tr>
      <w:tr w:rsidR="005E43BA" w:rsidRPr="005E43BA" w:rsidTr="003C3236">
        <w:trPr>
          <w:cantSplit/>
          <w:trHeight w:val="1185"/>
          <w:jc w:val="center"/>
        </w:trPr>
        <w:tc>
          <w:tcPr>
            <w:tcW w:w="348" w:type="dxa"/>
            <w:vMerge w:val="restart"/>
            <w:vAlign w:val="center"/>
          </w:tcPr>
          <w:p w:rsidR="00FC4EDA" w:rsidRPr="005E43BA" w:rsidRDefault="00FC4EDA" w:rsidP="003C3236">
            <w:pPr>
              <w:jc w:val="center"/>
              <w:rPr>
                <w:rFonts w:cs="新細明體"/>
                <w:sz w:val="20"/>
                <w:szCs w:val="20"/>
              </w:rPr>
            </w:pPr>
          </w:p>
          <w:p w:rsidR="003C1ED5" w:rsidRPr="005E43BA" w:rsidRDefault="003C1ED5" w:rsidP="003C3236">
            <w:pPr>
              <w:jc w:val="center"/>
              <w:rPr>
                <w:rFonts w:cs="新細明體"/>
                <w:sz w:val="20"/>
                <w:szCs w:val="20"/>
              </w:rPr>
            </w:pPr>
          </w:p>
          <w:p w:rsidR="003C1ED5" w:rsidRPr="005E43BA" w:rsidRDefault="003C1ED5" w:rsidP="003C3236">
            <w:pPr>
              <w:jc w:val="center"/>
              <w:rPr>
                <w:rFonts w:cs="新細明體"/>
                <w:sz w:val="20"/>
                <w:szCs w:val="20"/>
              </w:rPr>
            </w:pPr>
          </w:p>
          <w:p w:rsidR="003C1ED5" w:rsidRPr="005E43BA" w:rsidRDefault="008775AE" w:rsidP="003C3236">
            <w:pPr>
              <w:jc w:val="center"/>
              <w:rPr>
                <w:rFonts w:cs="新細明體"/>
                <w:sz w:val="20"/>
                <w:szCs w:val="20"/>
              </w:rPr>
            </w:pPr>
            <w:r w:rsidRPr="005E43BA">
              <w:rPr>
                <w:rFonts w:cs="新細明體" w:hint="eastAsia"/>
                <w:sz w:val="20"/>
                <w:szCs w:val="20"/>
              </w:rPr>
              <w:t>五</w:t>
            </w:r>
          </w:p>
          <w:p w:rsidR="003C1ED5" w:rsidRPr="005E43BA" w:rsidRDefault="003C1ED5" w:rsidP="003C3236">
            <w:pPr>
              <w:jc w:val="center"/>
              <w:rPr>
                <w:rFonts w:cs="新細明體"/>
                <w:sz w:val="20"/>
                <w:szCs w:val="20"/>
              </w:rPr>
            </w:pPr>
          </w:p>
          <w:p w:rsidR="003C1ED5" w:rsidRPr="005E43BA" w:rsidRDefault="003C1ED5" w:rsidP="003C3236">
            <w:pPr>
              <w:jc w:val="center"/>
              <w:rPr>
                <w:rFonts w:cs="新細明體"/>
                <w:sz w:val="20"/>
                <w:szCs w:val="20"/>
              </w:rPr>
            </w:pPr>
          </w:p>
          <w:p w:rsidR="003C1ED5" w:rsidRPr="005E43BA" w:rsidRDefault="003C1ED5" w:rsidP="003C3236">
            <w:pPr>
              <w:jc w:val="center"/>
              <w:rPr>
                <w:rFonts w:cs="新細明體"/>
                <w:sz w:val="20"/>
                <w:szCs w:val="20"/>
              </w:rPr>
            </w:pPr>
          </w:p>
          <w:p w:rsidR="003C1ED5" w:rsidRPr="005E43BA" w:rsidRDefault="003C1ED5" w:rsidP="003C3236">
            <w:pPr>
              <w:jc w:val="center"/>
              <w:rPr>
                <w:sz w:val="20"/>
                <w:szCs w:val="20"/>
              </w:rPr>
            </w:pPr>
          </w:p>
        </w:tc>
        <w:tc>
          <w:tcPr>
            <w:tcW w:w="1503" w:type="dxa"/>
            <w:vMerge w:val="restart"/>
            <w:vAlign w:val="center"/>
          </w:tcPr>
          <w:p w:rsidR="00FC4EDA" w:rsidRPr="005E43BA" w:rsidRDefault="00FC4EDA" w:rsidP="00915490">
            <w:pPr>
              <w:jc w:val="both"/>
              <w:rPr>
                <w:sz w:val="20"/>
                <w:szCs w:val="20"/>
              </w:rPr>
            </w:pPr>
            <w:r w:rsidRPr="005E43BA">
              <w:rPr>
                <w:rFonts w:cs="新細明體" w:hint="eastAsia"/>
                <w:sz w:val="20"/>
                <w:szCs w:val="20"/>
              </w:rPr>
              <w:t>「</w:t>
            </w:r>
            <w:r w:rsidR="00915490" w:rsidRPr="005E43BA">
              <w:rPr>
                <w:rFonts w:cs="新細明體" w:hint="eastAsia"/>
                <w:sz w:val="20"/>
                <w:szCs w:val="20"/>
              </w:rPr>
              <w:t>台北惜物網</w:t>
            </w:r>
            <w:r w:rsidRPr="005E43BA">
              <w:rPr>
                <w:rFonts w:cs="新細明體" w:hint="eastAsia"/>
                <w:sz w:val="20"/>
                <w:szCs w:val="20"/>
              </w:rPr>
              <w:t>」拍賣報廢動產</w:t>
            </w:r>
          </w:p>
        </w:tc>
        <w:tc>
          <w:tcPr>
            <w:tcW w:w="349" w:type="dxa"/>
            <w:vAlign w:val="center"/>
          </w:tcPr>
          <w:p w:rsidR="00FC4EDA" w:rsidRPr="005E43BA" w:rsidRDefault="008775AE" w:rsidP="003C3236">
            <w:pPr>
              <w:jc w:val="center"/>
              <w:rPr>
                <w:sz w:val="20"/>
                <w:szCs w:val="20"/>
              </w:rPr>
            </w:pPr>
            <w:r w:rsidRPr="005E43BA">
              <w:rPr>
                <w:rFonts w:hint="eastAsia"/>
                <w:sz w:val="20"/>
                <w:szCs w:val="20"/>
              </w:rPr>
              <w:t>6</w:t>
            </w:r>
          </w:p>
        </w:tc>
        <w:tc>
          <w:tcPr>
            <w:tcW w:w="1503" w:type="dxa"/>
            <w:vAlign w:val="center"/>
          </w:tcPr>
          <w:p w:rsidR="00FC4EDA" w:rsidRPr="005E43BA" w:rsidRDefault="00FC4EDA" w:rsidP="003C3236">
            <w:pPr>
              <w:jc w:val="both"/>
              <w:rPr>
                <w:sz w:val="20"/>
                <w:szCs w:val="20"/>
              </w:rPr>
            </w:pPr>
            <w:r w:rsidRPr="005E43BA">
              <w:rPr>
                <w:rFonts w:cs="新細明體" w:hint="eastAsia"/>
                <w:sz w:val="20"/>
                <w:szCs w:val="20"/>
              </w:rPr>
              <w:t>各機關學校公有動產報廢上網拍賣數占報廢數比例</w:t>
            </w:r>
          </w:p>
        </w:tc>
        <w:tc>
          <w:tcPr>
            <w:tcW w:w="926" w:type="dxa"/>
            <w:vAlign w:val="center"/>
          </w:tcPr>
          <w:p w:rsidR="00FC4EDA" w:rsidRPr="005E43BA" w:rsidRDefault="00FC4EDA" w:rsidP="003C3236">
            <w:pPr>
              <w:jc w:val="both"/>
              <w:rPr>
                <w:sz w:val="20"/>
                <w:szCs w:val="20"/>
              </w:rPr>
            </w:pPr>
            <w:r w:rsidRPr="005E43BA">
              <w:rPr>
                <w:rFonts w:cs="新細明體" w:hint="eastAsia"/>
                <w:sz w:val="20"/>
                <w:szCs w:val="20"/>
              </w:rPr>
              <w:t>每半年評比</w:t>
            </w:r>
          </w:p>
        </w:tc>
        <w:tc>
          <w:tcPr>
            <w:tcW w:w="2185" w:type="dxa"/>
            <w:vAlign w:val="center"/>
          </w:tcPr>
          <w:p w:rsidR="00FC4EDA" w:rsidRPr="005E43BA" w:rsidRDefault="00FC4EDA" w:rsidP="003C3236">
            <w:pPr>
              <w:jc w:val="both"/>
              <w:rPr>
                <w:sz w:val="20"/>
                <w:szCs w:val="20"/>
              </w:rPr>
            </w:pPr>
            <w:r w:rsidRPr="005E43BA">
              <w:rPr>
                <w:rFonts w:cs="新細明體" w:hint="eastAsia"/>
                <w:sz w:val="20"/>
                <w:szCs w:val="20"/>
              </w:rPr>
              <w:t>公有動產報廢上網完成交易量</w:t>
            </w:r>
          </w:p>
        </w:tc>
        <w:tc>
          <w:tcPr>
            <w:tcW w:w="957" w:type="dxa"/>
            <w:vAlign w:val="center"/>
          </w:tcPr>
          <w:p w:rsidR="00FC4EDA" w:rsidRPr="005E43BA" w:rsidRDefault="00FC4EDA" w:rsidP="003C3236">
            <w:pPr>
              <w:jc w:val="center"/>
              <w:rPr>
                <w:sz w:val="20"/>
                <w:szCs w:val="20"/>
              </w:rPr>
            </w:pPr>
            <w:r w:rsidRPr="005E43BA">
              <w:rPr>
                <w:rFonts w:hint="eastAsia"/>
                <w:sz w:val="20"/>
                <w:szCs w:val="20"/>
              </w:rPr>
              <w:t>700</w:t>
            </w:r>
            <w:r w:rsidRPr="005E43BA">
              <w:rPr>
                <w:rFonts w:cs="新細明體" w:hint="eastAsia"/>
                <w:sz w:val="20"/>
                <w:szCs w:val="20"/>
              </w:rPr>
              <w:t>件</w:t>
            </w:r>
          </w:p>
        </w:tc>
        <w:tc>
          <w:tcPr>
            <w:tcW w:w="1828" w:type="dxa"/>
            <w:vMerge/>
            <w:vAlign w:val="center"/>
          </w:tcPr>
          <w:p w:rsidR="00FC4EDA" w:rsidRPr="005E43BA" w:rsidRDefault="00FC4EDA" w:rsidP="003C3236">
            <w:pPr>
              <w:rPr>
                <w:rFonts w:cs="新細明體"/>
                <w:sz w:val="20"/>
                <w:szCs w:val="20"/>
              </w:rPr>
            </w:pPr>
          </w:p>
        </w:tc>
      </w:tr>
      <w:tr w:rsidR="005E43BA" w:rsidRPr="005E43BA" w:rsidTr="003C3236">
        <w:trPr>
          <w:cantSplit/>
          <w:trHeight w:val="1040"/>
          <w:jc w:val="center"/>
        </w:trPr>
        <w:tc>
          <w:tcPr>
            <w:tcW w:w="348" w:type="dxa"/>
            <w:vMerge/>
            <w:tcBorders>
              <w:bottom w:val="single" w:sz="4" w:space="0" w:color="auto"/>
            </w:tcBorders>
            <w:vAlign w:val="center"/>
          </w:tcPr>
          <w:p w:rsidR="00FC4EDA" w:rsidRPr="005E43BA" w:rsidRDefault="00FC4EDA" w:rsidP="003C3236">
            <w:pPr>
              <w:rPr>
                <w:sz w:val="20"/>
                <w:szCs w:val="20"/>
              </w:rPr>
            </w:pPr>
          </w:p>
        </w:tc>
        <w:tc>
          <w:tcPr>
            <w:tcW w:w="1503" w:type="dxa"/>
            <w:vMerge/>
            <w:vAlign w:val="center"/>
          </w:tcPr>
          <w:p w:rsidR="00FC4EDA" w:rsidRPr="005E43BA" w:rsidRDefault="00FC4EDA" w:rsidP="003C3236">
            <w:pPr>
              <w:rPr>
                <w:sz w:val="20"/>
                <w:szCs w:val="20"/>
              </w:rPr>
            </w:pPr>
          </w:p>
        </w:tc>
        <w:tc>
          <w:tcPr>
            <w:tcW w:w="349" w:type="dxa"/>
            <w:vAlign w:val="center"/>
          </w:tcPr>
          <w:p w:rsidR="00FC4EDA" w:rsidRPr="005E43BA" w:rsidRDefault="008775AE" w:rsidP="003C3236">
            <w:pPr>
              <w:jc w:val="center"/>
              <w:rPr>
                <w:sz w:val="20"/>
                <w:szCs w:val="20"/>
              </w:rPr>
            </w:pPr>
            <w:r w:rsidRPr="005E43BA">
              <w:rPr>
                <w:rFonts w:hint="eastAsia"/>
                <w:sz w:val="20"/>
                <w:szCs w:val="20"/>
              </w:rPr>
              <w:t>7</w:t>
            </w:r>
          </w:p>
        </w:tc>
        <w:tc>
          <w:tcPr>
            <w:tcW w:w="1503" w:type="dxa"/>
            <w:vAlign w:val="center"/>
          </w:tcPr>
          <w:p w:rsidR="00FC4EDA" w:rsidRPr="005E43BA" w:rsidRDefault="00FC4EDA" w:rsidP="003C3236">
            <w:pPr>
              <w:topLinePunct/>
              <w:ind w:left="2" w:rightChars="20" w:right="48" w:hanging="2"/>
              <w:rPr>
                <w:sz w:val="20"/>
                <w:szCs w:val="20"/>
              </w:rPr>
            </w:pPr>
            <w:r w:rsidRPr="005E43BA">
              <w:rPr>
                <w:rFonts w:cs="新細明體" w:hint="eastAsia"/>
                <w:sz w:val="20"/>
                <w:szCs w:val="20"/>
              </w:rPr>
              <w:t>動產報廢上網拍賣年收金額</w:t>
            </w:r>
          </w:p>
        </w:tc>
        <w:tc>
          <w:tcPr>
            <w:tcW w:w="926" w:type="dxa"/>
            <w:vAlign w:val="center"/>
          </w:tcPr>
          <w:p w:rsidR="00FC4EDA" w:rsidRPr="005E43BA" w:rsidRDefault="00FC4EDA" w:rsidP="003C3236">
            <w:pPr>
              <w:rPr>
                <w:sz w:val="20"/>
                <w:szCs w:val="20"/>
              </w:rPr>
            </w:pPr>
            <w:r w:rsidRPr="005E43BA">
              <w:rPr>
                <w:rFonts w:cs="新細明體" w:hint="eastAsia"/>
                <w:sz w:val="20"/>
                <w:szCs w:val="20"/>
              </w:rPr>
              <w:t>每半年評比</w:t>
            </w:r>
          </w:p>
        </w:tc>
        <w:tc>
          <w:tcPr>
            <w:tcW w:w="2185" w:type="dxa"/>
            <w:vAlign w:val="center"/>
          </w:tcPr>
          <w:p w:rsidR="00FC4EDA" w:rsidRPr="005E43BA" w:rsidRDefault="00FC4EDA" w:rsidP="003C3236">
            <w:pPr>
              <w:jc w:val="both"/>
              <w:rPr>
                <w:sz w:val="20"/>
                <w:szCs w:val="20"/>
              </w:rPr>
            </w:pPr>
            <w:r w:rsidRPr="005E43BA">
              <w:rPr>
                <w:rFonts w:cs="新細明體" w:hint="eastAsia"/>
                <w:sz w:val="20"/>
                <w:szCs w:val="20"/>
              </w:rPr>
              <w:t>各機關學校公有動產報廢上網拍賣金額</w:t>
            </w:r>
          </w:p>
        </w:tc>
        <w:tc>
          <w:tcPr>
            <w:tcW w:w="957" w:type="dxa"/>
            <w:vAlign w:val="center"/>
          </w:tcPr>
          <w:p w:rsidR="00FC4EDA" w:rsidRPr="005E43BA" w:rsidRDefault="00FC4EDA" w:rsidP="003C3236">
            <w:pPr>
              <w:jc w:val="center"/>
              <w:rPr>
                <w:sz w:val="20"/>
                <w:szCs w:val="20"/>
              </w:rPr>
            </w:pPr>
            <w:r w:rsidRPr="005E43BA">
              <w:rPr>
                <w:rFonts w:hint="eastAsia"/>
                <w:sz w:val="20"/>
                <w:szCs w:val="20"/>
              </w:rPr>
              <w:t>200</w:t>
            </w:r>
            <w:r w:rsidRPr="005E43BA">
              <w:rPr>
                <w:rFonts w:cs="新細明體" w:hint="eastAsia"/>
                <w:sz w:val="20"/>
                <w:szCs w:val="20"/>
              </w:rPr>
              <w:t>萬元</w:t>
            </w:r>
          </w:p>
        </w:tc>
        <w:tc>
          <w:tcPr>
            <w:tcW w:w="1828" w:type="dxa"/>
            <w:vMerge/>
            <w:vAlign w:val="center"/>
          </w:tcPr>
          <w:p w:rsidR="00FC4EDA" w:rsidRPr="005E43BA" w:rsidRDefault="00FC4EDA" w:rsidP="003C3236">
            <w:pPr>
              <w:widowControl/>
              <w:rPr>
                <w:sz w:val="20"/>
                <w:szCs w:val="20"/>
              </w:rPr>
            </w:pPr>
          </w:p>
        </w:tc>
      </w:tr>
      <w:tr w:rsidR="005E43BA" w:rsidRPr="005E43BA" w:rsidTr="002576AD">
        <w:trPr>
          <w:cantSplit/>
          <w:trHeight w:val="974"/>
          <w:jc w:val="center"/>
        </w:trPr>
        <w:tc>
          <w:tcPr>
            <w:tcW w:w="348" w:type="dxa"/>
            <w:vAlign w:val="center"/>
          </w:tcPr>
          <w:p w:rsidR="00E95C85" w:rsidRPr="005E43BA" w:rsidRDefault="008775AE" w:rsidP="00E95C85">
            <w:pPr>
              <w:rPr>
                <w:rFonts w:ascii="新細明體" w:hAnsi="新細明體"/>
                <w:sz w:val="20"/>
                <w:szCs w:val="20"/>
              </w:rPr>
            </w:pPr>
            <w:r w:rsidRPr="005E43BA">
              <w:rPr>
                <w:rFonts w:ascii="新細明體" w:hAnsi="新細明體" w:hint="eastAsia"/>
                <w:sz w:val="20"/>
                <w:szCs w:val="20"/>
              </w:rPr>
              <w:t>六</w:t>
            </w:r>
          </w:p>
        </w:tc>
        <w:tc>
          <w:tcPr>
            <w:tcW w:w="1503" w:type="dxa"/>
            <w:vAlign w:val="center"/>
          </w:tcPr>
          <w:p w:rsidR="00E95C85" w:rsidRPr="005E43BA" w:rsidRDefault="00E95C85" w:rsidP="00E95C85">
            <w:pPr>
              <w:rPr>
                <w:rFonts w:ascii="新細明體" w:hAnsi="新細明體"/>
                <w:sz w:val="20"/>
                <w:szCs w:val="20"/>
              </w:rPr>
            </w:pPr>
            <w:r w:rsidRPr="005E43BA">
              <w:rPr>
                <w:rFonts w:ascii="新細明體" w:hAnsi="新細明體" w:hint="eastAsia"/>
                <w:sz w:val="20"/>
                <w:szCs w:val="20"/>
              </w:rPr>
              <w:t>中和金門新村標售(租)</w:t>
            </w:r>
          </w:p>
        </w:tc>
        <w:tc>
          <w:tcPr>
            <w:tcW w:w="349" w:type="dxa"/>
            <w:vAlign w:val="center"/>
          </w:tcPr>
          <w:p w:rsidR="00E95C85" w:rsidRPr="005E43BA" w:rsidRDefault="008775AE" w:rsidP="00E95C85">
            <w:pPr>
              <w:jc w:val="center"/>
              <w:rPr>
                <w:rFonts w:ascii="新細明體" w:hAnsi="新細明體"/>
                <w:sz w:val="20"/>
                <w:szCs w:val="20"/>
              </w:rPr>
            </w:pPr>
            <w:r w:rsidRPr="005E43BA">
              <w:rPr>
                <w:rFonts w:ascii="新細明體" w:hAnsi="新細明體" w:hint="eastAsia"/>
                <w:sz w:val="20"/>
                <w:szCs w:val="20"/>
              </w:rPr>
              <w:t>8</w:t>
            </w:r>
          </w:p>
        </w:tc>
        <w:tc>
          <w:tcPr>
            <w:tcW w:w="1503" w:type="dxa"/>
            <w:vAlign w:val="center"/>
          </w:tcPr>
          <w:p w:rsidR="00E95C85" w:rsidRPr="005E43BA" w:rsidRDefault="00E95C85" w:rsidP="00E95C85">
            <w:pPr>
              <w:kinsoku w:val="0"/>
              <w:topLinePunct/>
              <w:ind w:left="2" w:rightChars="20" w:right="48" w:hanging="2"/>
              <w:rPr>
                <w:rFonts w:ascii="新細明體" w:hAnsi="新細明體"/>
                <w:sz w:val="20"/>
                <w:szCs w:val="20"/>
              </w:rPr>
            </w:pPr>
            <w:r w:rsidRPr="005E43BA">
              <w:rPr>
                <w:rFonts w:ascii="新細明體" w:hAnsi="新細明體" w:hint="eastAsia"/>
                <w:sz w:val="20"/>
                <w:szCs w:val="20"/>
              </w:rPr>
              <w:t>標售不動產房地及標租店舖</w:t>
            </w:r>
          </w:p>
        </w:tc>
        <w:tc>
          <w:tcPr>
            <w:tcW w:w="926" w:type="dxa"/>
            <w:vAlign w:val="center"/>
          </w:tcPr>
          <w:p w:rsidR="00E95C85" w:rsidRPr="005E43BA" w:rsidRDefault="00E95C85" w:rsidP="00E95C85">
            <w:pPr>
              <w:rPr>
                <w:rFonts w:ascii="新細明體" w:hAnsi="新細明體"/>
                <w:sz w:val="20"/>
                <w:szCs w:val="20"/>
              </w:rPr>
            </w:pPr>
            <w:r w:rsidRPr="005E43BA">
              <w:rPr>
                <w:rFonts w:ascii="新細明體" w:hAnsi="新細明體" w:hint="eastAsia"/>
                <w:sz w:val="20"/>
                <w:szCs w:val="20"/>
              </w:rPr>
              <w:t>每年評比</w:t>
            </w:r>
          </w:p>
        </w:tc>
        <w:tc>
          <w:tcPr>
            <w:tcW w:w="2185" w:type="dxa"/>
            <w:vAlign w:val="center"/>
          </w:tcPr>
          <w:p w:rsidR="00E95C85" w:rsidRPr="005E43BA" w:rsidRDefault="00E95C85" w:rsidP="00E95C85">
            <w:pPr>
              <w:jc w:val="both"/>
              <w:rPr>
                <w:rFonts w:ascii="新細明體" w:hAnsi="新細明體"/>
                <w:sz w:val="20"/>
                <w:szCs w:val="20"/>
              </w:rPr>
            </w:pPr>
            <w:r w:rsidRPr="005E43BA">
              <w:rPr>
                <w:rFonts w:ascii="新細明體" w:hAnsi="新細明體" w:hint="eastAsia"/>
                <w:sz w:val="20"/>
                <w:szCs w:val="20"/>
              </w:rPr>
              <w:t>標售不動產房地2棟及標租店舖1棟</w:t>
            </w:r>
          </w:p>
        </w:tc>
        <w:tc>
          <w:tcPr>
            <w:tcW w:w="957" w:type="dxa"/>
            <w:vAlign w:val="center"/>
          </w:tcPr>
          <w:p w:rsidR="00E95C85" w:rsidRPr="005E43BA" w:rsidRDefault="00E95C85" w:rsidP="00E95C85">
            <w:pPr>
              <w:jc w:val="both"/>
              <w:rPr>
                <w:rFonts w:ascii="新細明體" w:hAnsi="新細明體"/>
                <w:sz w:val="20"/>
                <w:szCs w:val="20"/>
              </w:rPr>
            </w:pPr>
            <w:r w:rsidRPr="005E43BA">
              <w:rPr>
                <w:rFonts w:ascii="新細明體" w:hAnsi="新細明體" w:hint="eastAsia"/>
                <w:sz w:val="20"/>
                <w:szCs w:val="20"/>
              </w:rPr>
              <w:t>4</w:t>
            </w:r>
            <w:r w:rsidRPr="005E43BA">
              <w:rPr>
                <w:rFonts w:ascii="標楷體" w:eastAsia="標楷體" w:hAnsi="標楷體" w:hint="eastAsia"/>
                <w:sz w:val="20"/>
                <w:szCs w:val="20"/>
              </w:rPr>
              <w:t>,</w:t>
            </w:r>
            <w:r w:rsidRPr="005E43BA">
              <w:rPr>
                <w:rFonts w:ascii="新細明體" w:hAnsi="新細明體"/>
                <w:sz w:val="20"/>
                <w:szCs w:val="20"/>
              </w:rPr>
              <w:t>4</w:t>
            </w:r>
            <w:r w:rsidRPr="005E43BA">
              <w:rPr>
                <w:rFonts w:ascii="新細明體" w:hAnsi="新細明體" w:hint="eastAsia"/>
                <w:sz w:val="20"/>
                <w:szCs w:val="20"/>
              </w:rPr>
              <w:t>4</w:t>
            </w:r>
            <w:r w:rsidRPr="005E43BA">
              <w:rPr>
                <w:rFonts w:ascii="新細明體" w:hAnsi="新細明體"/>
                <w:sz w:val="20"/>
                <w:szCs w:val="20"/>
              </w:rPr>
              <w:t>5</w:t>
            </w:r>
            <w:r w:rsidRPr="005E43BA">
              <w:rPr>
                <w:rFonts w:ascii="新細明體" w:hAnsi="新細明體" w:hint="eastAsia"/>
                <w:sz w:val="20"/>
                <w:szCs w:val="20"/>
              </w:rPr>
              <w:t>.6萬元</w:t>
            </w:r>
          </w:p>
        </w:tc>
        <w:tc>
          <w:tcPr>
            <w:tcW w:w="1828" w:type="dxa"/>
            <w:vAlign w:val="center"/>
          </w:tcPr>
          <w:p w:rsidR="00E95C85" w:rsidRPr="005E43BA" w:rsidRDefault="008775AE" w:rsidP="00E95C85">
            <w:pPr>
              <w:widowControl/>
              <w:rPr>
                <w:rFonts w:ascii="新細明體" w:hAnsi="新細明體"/>
                <w:sz w:val="20"/>
                <w:szCs w:val="20"/>
              </w:rPr>
            </w:pPr>
            <w:r w:rsidRPr="005E43BA">
              <w:rPr>
                <w:rFonts w:ascii="新細明體" w:hAnsi="新細明體" w:hint="eastAsia"/>
                <w:sz w:val="20"/>
                <w:szCs w:val="20"/>
              </w:rPr>
              <w:t>四、投資發展</w:t>
            </w:r>
          </w:p>
        </w:tc>
      </w:tr>
      <w:tr w:rsidR="008775AE" w:rsidRPr="005E43BA" w:rsidTr="002576AD">
        <w:trPr>
          <w:cantSplit/>
          <w:trHeight w:val="974"/>
          <w:jc w:val="center"/>
        </w:trPr>
        <w:tc>
          <w:tcPr>
            <w:tcW w:w="348" w:type="dxa"/>
            <w:vAlign w:val="center"/>
          </w:tcPr>
          <w:p w:rsidR="008775AE" w:rsidRPr="005E43BA" w:rsidRDefault="008775AE" w:rsidP="008775AE">
            <w:pPr>
              <w:jc w:val="center"/>
              <w:rPr>
                <w:sz w:val="20"/>
                <w:szCs w:val="20"/>
              </w:rPr>
            </w:pPr>
            <w:r w:rsidRPr="005E43BA">
              <w:rPr>
                <w:rFonts w:hint="eastAsia"/>
                <w:sz w:val="20"/>
                <w:szCs w:val="20"/>
              </w:rPr>
              <w:lastRenderedPageBreak/>
              <w:t>七</w:t>
            </w:r>
          </w:p>
        </w:tc>
        <w:tc>
          <w:tcPr>
            <w:tcW w:w="1503" w:type="dxa"/>
            <w:vAlign w:val="center"/>
          </w:tcPr>
          <w:p w:rsidR="008775AE" w:rsidRPr="005E43BA" w:rsidRDefault="008775AE" w:rsidP="008775AE">
            <w:pPr>
              <w:rPr>
                <w:sz w:val="20"/>
                <w:szCs w:val="20"/>
              </w:rPr>
            </w:pPr>
            <w:r w:rsidRPr="005E43BA">
              <w:rPr>
                <w:rFonts w:cs="新細明體" w:hint="eastAsia"/>
                <w:sz w:val="20"/>
                <w:szCs w:val="20"/>
              </w:rPr>
              <w:t>推動庫款支付作業無紙化</w:t>
            </w:r>
          </w:p>
        </w:tc>
        <w:tc>
          <w:tcPr>
            <w:tcW w:w="349" w:type="dxa"/>
            <w:vAlign w:val="center"/>
          </w:tcPr>
          <w:p w:rsidR="008775AE" w:rsidRPr="005E43BA" w:rsidRDefault="008775AE" w:rsidP="008775AE">
            <w:pPr>
              <w:jc w:val="center"/>
              <w:rPr>
                <w:sz w:val="20"/>
                <w:szCs w:val="20"/>
              </w:rPr>
            </w:pPr>
            <w:r w:rsidRPr="005E43BA">
              <w:rPr>
                <w:rFonts w:hint="eastAsia"/>
                <w:sz w:val="20"/>
                <w:szCs w:val="20"/>
              </w:rPr>
              <w:t>9</w:t>
            </w:r>
          </w:p>
        </w:tc>
        <w:tc>
          <w:tcPr>
            <w:tcW w:w="1503" w:type="dxa"/>
            <w:vAlign w:val="center"/>
          </w:tcPr>
          <w:p w:rsidR="008775AE" w:rsidRPr="005E43BA" w:rsidRDefault="008775AE" w:rsidP="008775AE">
            <w:pPr>
              <w:rPr>
                <w:sz w:val="20"/>
                <w:szCs w:val="20"/>
              </w:rPr>
            </w:pPr>
            <w:r w:rsidRPr="005E43BA">
              <w:rPr>
                <w:rFonts w:cs="新細明體" w:hint="eastAsia"/>
                <w:sz w:val="20"/>
                <w:szCs w:val="20"/>
              </w:rPr>
              <w:t>無紙化比率</w:t>
            </w:r>
          </w:p>
        </w:tc>
        <w:tc>
          <w:tcPr>
            <w:tcW w:w="926" w:type="dxa"/>
            <w:vAlign w:val="center"/>
          </w:tcPr>
          <w:p w:rsidR="008775AE" w:rsidRPr="005E43BA" w:rsidRDefault="008775AE" w:rsidP="008775AE">
            <w:pPr>
              <w:rPr>
                <w:sz w:val="20"/>
                <w:szCs w:val="20"/>
              </w:rPr>
            </w:pPr>
            <w:r w:rsidRPr="005E43BA">
              <w:rPr>
                <w:rFonts w:cs="新細明體" w:hint="eastAsia"/>
                <w:sz w:val="20"/>
                <w:szCs w:val="20"/>
              </w:rPr>
              <w:t>統計數據</w:t>
            </w:r>
          </w:p>
        </w:tc>
        <w:tc>
          <w:tcPr>
            <w:tcW w:w="2185" w:type="dxa"/>
            <w:vAlign w:val="center"/>
          </w:tcPr>
          <w:p w:rsidR="008775AE" w:rsidRPr="005E43BA" w:rsidRDefault="008775AE" w:rsidP="008775AE">
            <w:pPr>
              <w:jc w:val="both"/>
              <w:rPr>
                <w:sz w:val="20"/>
                <w:szCs w:val="20"/>
              </w:rPr>
            </w:pPr>
            <w:r w:rsidRPr="005E43BA">
              <w:rPr>
                <w:rFonts w:cs="新細明體" w:hint="eastAsia"/>
                <w:sz w:val="20"/>
                <w:szCs w:val="20"/>
              </w:rPr>
              <w:t>【本年度免送紙本憑單件數</w:t>
            </w:r>
            <w:r w:rsidRPr="005E43BA">
              <w:rPr>
                <w:rFonts w:hint="eastAsia"/>
                <w:sz w:val="20"/>
                <w:szCs w:val="20"/>
              </w:rPr>
              <w:t>/</w:t>
            </w:r>
            <w:r w:rsidRPr="005E43BA">
              <w:rPr>
                <w:rFonts w:cs="新細明體" w:hint="eastAsia"/>
                <w:sz w:val="20"/>
                <w:szCs w:val="20"/>
              </w:rPr>
              <w:t>本年度總憑單件數】</w:t>
            </w:r>
            <w:r w:rsidRPr="005E43BA">
              <w:rPr>
                <w:sz w:val="20"/>
                <w:szCs w:val="20"/>
              </w:rPr>
              <w:t>x100</w:t>
            </w:r>
            <w:r w:rsidRPr="005E43BA">
              <w:rPr>
                <w:rFonts w:cs="新細明體" w:hint="eastAsia"/>
                <w:sz w:val="20"/>
                <w:szCs w:val="20"/>
              </w:rPr>
              <w:t>﹪</w:t>
            </w:r>
          </w:p>
        </w:tc>
        <w:tc>
          <w:tcPr>
            <w:tcW w:w="957" w:type="dxa"/>
            <w:vAlign w:val="center"/>
          </w:tcPr>
          <w:p w:rsidR="008775AE" w:rsidRPr="005E43BA" w:rsidRDefault="008775AE" w:rsidP="008775AE">
            <w:pPr>
              <w:jc w:val="center"/>
              <w:rPr>
                <w:sz w:val="20"/>
                <w:szCs w:val="20"/>
              </w:rPr>
            </w:pPr>
            <w:r w:rsidRPr="005E43BA">
              <w:rPr>
                <w:rFonts w:hint="eastAsia"/>
                <w:sz w:val="20"/>
                <w:szCs w:val="20"/>
              </w:rPr>
              <w:t>93%</w:t>
            </w:r>
            <w:r w:rsidRPr="005E43BA">
              <w:rPr>
                <w:rFonts w:cs="新細明體" w:hint="eastAsia"/>
                <w:sz w:val="20"/>
                <w:szCs w:val="20"/>
              </w:rPr>
              <w:t>以上</w:t>
            </w:r>
          </w:p>
        </w:tc>
        <w:tc>
          <w:tcPr>
            <w:tcW w:w="1828" w:type="dxa"/>
            <w:vAlign w:val="center"/>
          </w:tcPr>
          <w:p w:rsidR="008775AE" w:rsidRPr="005E43BA" w:rsidRDefault="008775AE" w:rsidP="008775AE">
            <w:pPr>
              <w:rPr>
                <w:sz w:val="20"/>
                <w:szCs w:val="20"/>
              </w:rPr>
            </w:pPr>
            <w:r w:rsidRPr="005E43BA">
              <w:rPr>
                <w:rFonts w:cs="新細明體" w:hint="eastAsia"/>
                <w:sz w:val="20"/>
                <w:szCs w:val="20"/>
              </w:rPr>
              <w:t>六、庫款支付</w:t>
            </w:r>
          </w:p>
        </w:tc>
      </w:tr>
    </w:tbl>
    <w:p w:rsidR="00E95C85" w:rsidRPr="005E43BA" w:rsidRDefault="00E95C85" w:rsidP="00FC4EDA">
      <w:pPr>
        <w:rPr>
          <w:rFonts w:cs="新細明體"/>
          <w:b/>
          <w:sz w:val="28"/>
          <w:szCs w:val="28"/>
        </w:rPr>
      </w:pPr>
    </w:p>
    <w:p w:rsidR="00E95C85" w:rsidRPr="005E43BA" w:rsidRDefault="00E95C85" w:rsidP="00FC4EDA">
      <w:pPr>
        <w:rPr>
          <w:rFonts w:cs="新細明體"/>
          <w:b/>
          <w:sz w:val="28"/>
          <w:szCs w:val="28"/>
        </w:rPr>
      </w:pPr>
    </w:p>
    <w:p w:rsidR="00E95C85" w:rsidRDefault="00E95C85" w:rsidP="00FC4EDA">
      <w:pPr>
        <w:rPr>
          <w:rFonts w:cs="新細明體"/>
          <w:b/>
          <w:sz w:val="28"/>
          <w:szCs w:val="28"/>
        </w:rPr>
      </w:pPr>
    </w:p>
    <w:p w:rsidR="00A74DD7" w:rsidRPr="005E43BA" w:rsidRDefault="00A74DD7" w:rsidP="00FC4EDA">
      <w:pPr>
        <w:rPr>
          <w:rFonts w:cs="新細明體" w:hint="eastAsia"/>
          <w:b/>
          <w:sz w:val="28"/>
          <w:szCs w:val="28"/>
        </w:rPr>
      </w:pPr>
    </w:p>
    <w:p w:rsidR="00FC4EDA" w:rsidRPr="005E43BA" w:rsidRDefault="00FC4EDA" w:rsidP="00FC4EDA">
      <w:pPr>
        <w:rPr>
          <w:b/>
          <w:sz w:val="28"/>
          <w:szCs w:val="28"/>
        </w:rPr>
      </w:pPr>
      <w:r w:rsidRPr="005E43BA">
        <w:rPr>
          <w:rFonts w:cs="新細明體" w:hint="eastAsia"/>
          <w:b/>
          <w:sz w:val="28"/>
          <w:szCs w:val="28"/>
        </w:rPr>
        <w:t>參、年度重要施政計畫</w:t>
      </w: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405"/>
        <w:gridCol w:w="2155"/>
        <w:gridCol w:w="3228"/>
        <w:gridCol w:w="1200"/>
      </w:tblGrid>
      <w:tr w:rsidR="005E43BA" w:rsidRPr="005E43BA" w:rsidTr="00523F72">
        <w:trPr>
          <w:tblHeader/>
        </w:trPr>
        <w:tc>
          <w:tcPr>
            <w:tcW w:w="1572" w:type="dxa"/>
            <w:shd w:val="clear" w:color="auto" w:fill="auto"/>
          </w:tcPr>
          <w:p w:rsidR="00FC4EDA" w:rsidRPr="005E43BA" w:rsidRDefault="00FC4EDA" w:rsidP="00523F72">
            <w:pPr>
              <w:jc w:val="center"/>
              <w:textDirection w:val="lrTbV"/>
              <w:rPr>
                <w:b/>
                <w:sz w:val="20"/>
                <w:szCs w:val="20"/>
              </w:rPr>
            </w:pPr>
            <w:r w:rsidRPr="005E43BA">
              <w:rPr>
                <w:rFonts w:cs="新細明體" w:hint="eastAsia"/>
                <w:b/>
                <w:sz w:val="20"/>
                <w:szCs w:val="20"/>
              </w:rPr>
              <w:t>工作計畫</w:t>
            </w:r>
          </w:p>
          <w:p w:rsidR="00FC4EDA" w:rsidRPr="005E43BA" w:rsidRDefault="00FC4EDA" w:rsidP="00523F72">
            <w:pPr>
              <w:jc w:val="center"/>
              <w:textDirection w:val="lrTbV"/>
              <w:rPr>
                <w:b/>
                <w:sz w:val="20"/>
                <w:szCs w:val="20"/>
              </w:rPr>
            </w:pPr>
            <w:r w:rsidRPr="005E43BA">
              <w:rPr>
                <w:rFonts w:cs="新細明體" w:hint="eastAsia"/>
                <w:b/>
                <w:sz w:val="20"/>
                <w:szCs w:val="20"/>
              </w:rPr>
              <w:t>名稱</w:t>
            </w:r>
          </w:p>
        </w:tc>
        <w:tc>
          <w:tcPr>
            <w:tcW w:w="1405" w:type="dxa"/>
            <w:shd w:val="clear" w:color="auto" w:fill="auto"/>
          </w:tcPr>
          <w:p w:rsidR="00FC4EDA" w:rsidRPr="005E43BA" w:rsidRDefault="00FC4EDA" w:rsidP="00523F72">
            <w:pPr>
              <w:jc w:val="center"/>
              <w:textDirection w:val="lrTbV"/>
              <w:rPr>
                <w:b/>
                <w:sz w:val="20"/>
                <w:szCs w:val="20"/>
              </w:rPr>
            </w:pPr>
            <w:r w:rsidRPr="005E43BA">
              <w:rPr>
                <w:rFonts w:cs="新細明體" w:hint="eastAsia"/>
                <w:b/>
                <w:sz w:val="20"/>
                <w:szCs w:val="20"/>
              </w:rPr>
              <w:t>預算</w:t>
            </w:r>
            <w:r w:rsidRPr="005E43BA">
              <w:rPr>
                <w:rFonts w:hint="eastAsia"/>
                <w:b/>
                <w:sz w:val="20"/>
                <w:szCs w:val="20"/>
              </w:rPr>
              <w:t>(</w:t>
            </w:r>
            <w:r w:rsidRPr="005E43BA">
              <w:rPr>
                <w:rFonts w:cs="新細明體" w:hint="eastAsia"/>
                <w:b/>
                <w:sz w:val="20"/>
                <w:szCs w:val="20"/>
              </w:rPr>
              <w:t>千元</w:t>
            </w:r>
            <w:r w:rsidRPr="005E43BA">
              <w:rPr>
                <w:rFonts w:hint="eastAsia"/>
                <w:b/>
                <w:sz w:val="20"/>
                <w:szCs w:val="20"/>
              </w:rPr>
              <w:t>)</w:t>
            </w:r>
          </w:p>
        </w:tc>
        <w:tc>
          <w:tcPr>
            <w:tcW w:w="2155" w:type="dxa"/>
            <w:shd w:val="clear" w:color="auto" w:fill="auto"/>
          </w:tcPr>
          <w:p w:rsidR="00FC4EDA" w:rsidRPr="005E43BA" w:rsidRDefault="00FC4EDA" w:rsidP="00523F72">
            <w:pPr>
              <w:jc w:val="center"/>
              <w:textDirection w:val="lrTbV"/>
              <w:rPr>
                <w:b/>
                <w:sz w:val="20"/>
                <w:szCs w:val="20"/>
              </w:rPr>
            </w:pPr>
            <w:r w:rsidRPr="005E43BA">
              <w:rPr>
                <w:rFonts w:cs="新細明體" w:hint="eastAsia"/>
                <w:b/>
                <w:sz w:val="20"/>
                <w:szCs w:val="20"/>
              </w:rPr>
              <w:t>重要施政計畫</w:t>
            </w:r>
          </w:p>
          <w:p w:rsidR="00FC4EDA" w:rsidRPr="005E43BA" w:rsidRDefault="00FC4EDA" w:rsidP="00523F72">
            <w:pPr>
              <w:jc w:val="center"/>
              <w:textDirection w:val="lrTbV"/>
              <w:rPr>
                <w:b/>
                <w:sz w:val="20"/>
                <w:szCs w:val="20"/>
              </w:rPr>
            </w:pPr>
            <w:r w:rsidRPr="005E43BA">
              <w:rPr>
                <w:rFonts w:cs="新細明體" w:hint="eastAsia"/>
                <w:b/>
                <w:sz w:val="20"/>
                <w:szCs w:val="20"/>
              </w:rPr>
              <w:t>項目</w:t>
            </w:r>
          </w:p>
        </w:tc>
        <w:tc>
          <w:tcPr>
            <w:tcW w:w="3228" w:type="dxa"/>
            <w:shd w:val="clear" w:color="auto" w:fill="auto"/>
            <w:vAlign w:val="center"/>
          </w:tcPr>
          <w:p w:rsidR="00FC4EDA" w:rsidRPr="005E43BA" w:rsidRDefault="00FC4EDA" w:rsidP="00523F72">
            <w:pPr>
              <w:jc w:val="center"/>
              <w:textDirection w:val="lrTbV"/>
              <w:rPr>
                <w:b/>
                <w:sz w:val="20"/>
                <w:szCs w:val="20"/>
              </w:rPr>
            </w:pPr>
            <w:r w:rsidRPr="005E43BA">
              <w:rPr>
                <w:rFonts w:cs="新細明體" w:hint="eastAsia"/>
                <w:b/>
                <w:sz w:val="20"/>
                <w:szCs w:val="20"/>
              </w:rPr>
              <w:t>實施內容</w:t>
            </w:r>
          </w:p>
        </w:tc>
        <w:tc>
          <w:tcPr>
            <w:tcW w:w="1200" w:type="dxa"/>
            <w:shd w:val="clear" w:color="auto" w:fill="auto"/>
            <w:vAlign w:val="center"/>
          </w:tcPr>
          <w:p w:rsidR="00FC4EDA" w:rsidRPr="005E43BA" w:rsidRDefault="00FC4EDA" w:rsidP="00523F72">
            <w:pPr>
              <w:jc w:val="center"/>
              <w:textDirection w:val="lrTbV"/>
              <w:rPr>
                <w:b/>
                <w:sz w:val="20"/>
                <w:szCs w:val="20"/>
              </w:rPr>
            </w:pPr>
            <w:r w:rsidRPr="005E43BA">
              <w:rPr>
                <w:rFonts w:cs="新細明體" w:hint="eastAsia"/>
                <w:b/>
                <w:sz w:val="20"/>
                <w:szCs w:val="20"/>
              </w:rPr>
              <w:t>備註</w:t>
            </w:r>
          </w:p>
        </w:tc>
      </w:tr>
      <w:tr w:rsidR="005E43BA" w:rsidRPr="005E43BA" w:rsidTr="00523F72">
        <w:tc>
          <w:tcPr>
            <w:tcW w:w="1572" w:type="dxa"/>
            <w:shd w:val="clear" w:color="auto" w:fill="auto"/>
            <w:vAlign w:val="center"/>
          </w:tcPr>
          <w:p w:rsidR="00FC4EDA" w:rsidRPr="005E43BA" w:rsidRDefault="00FC4EDA" w:rsidP="00523F72">
            <w:pPr>
              <w:spacing w:before="120"/>
              <w:rPr>
                <w:rFonts w:cs="新細明體"/>
                <w:sz w:val="20"/>
                <w:szCs w:val="20"/>
              </w:rPr>
            </w:pPr>
            <w:r w:rsidRPr="005E43BA">
              <w:rPr>
                <w:rFonts w:cs="新細明體" w:hint="eastAsia"/>
                <w:sz w:val="20"/>
                <w:szCs w:val="20"/>
              </w:rPr>
              <w:t>一、財務管理</w:t>
            </w:r>
          </w:p>
        </w:tc>
        <w:tc>
          <w:tcPr>
            <w:tcW w:w="1405" w:type="dxa"/>
            <w:shd w:val="clear" w:color="auto" w:fill="auto"/>
            <w:vAlign w:val="center"/>
          </w:tcPr>
          <w:p w:rsidR="00FC4EDA" w:rsidRPr="005E43BA" w:rsidRDefault="00FC4EDA" w:rsidP="00523F72">
            <w:pPr>
              <w:jc w:val="both"/>
              <w:rPr>
                <w:sz w:val="20"/>
                <w:szCs w:val="20"/>
              </w:rPr>
            </w:pPr>
            <w:r w:rsidRPr="005E43BA">
              <w:rPr>
                <w:rFonts w:cs="新細明體" w:hint="eastAsia"/>
                <w:sz w:val="20"/>
                <w:szCs w:val="20"/>
              </w:rPr>
              <w:t>中央：</w:t>
            </w:r>
            <w:r w:rsidRPr="005E43BA">
              <w:rPr>
                <w:rFonts w:hint="eastAsia"/>
                <w:sz w:val="20"/>
                <w:szCs w:val="20"/>
              </w:rPr>
              <w:t>0</w:t>
            </w:r>
          </w:p>
          <w:p w:rsidR="00FC4EDA" w:rsidRPr="005E43BA" w:rsidRDefault="00FC4EDA" w:rsidP="00523F72">
            <w:pPr>
              <w:jc w:val="both"/>
              <w:rPr>
                <w:sz w:val="20"/>
                <w:szCs w:val="20"/>
              </w:rPr>
            </w:pPr>
            <w:r w:rsidRPr="005E43BA">
              <w:rPr>
                <w:rFonts w:hint="eastAsia"/>
                <w:sz w:val="20"/>
                <w:szCs w:val="20"/>
              </w:rPr>
              <w:t xml:space="preserve">  </w:t>
            </w:r>
            <w:r w:rsidRPr="005E43BA">
              <w:rPr>
                <w:rFonts w:cs="新細明體" w:hint="eastAsia"/>
                <w:sz w:val="20"/>
                <w:szCs w:val="20"/>
              </w:rPr>
              <w:t>縣：</w:t>
            </w:r>
            <w:r w:rsidRPr="005E43BA">
              <w:rPr>
                <w:rFonts w:hint="eastAsia"/>
                <w:sz w:val="20"/>
                <w:szCs w:val="20"/>
              </w:rPr>
              <w:t>1</w:t>
            </w:r>
            <w:r w:rsidR="001C31E5" w:rsidRPr="005E43BA">
              <w:rPr>
                <w:sz w:val="20"/>
                <w:szCs w:val="20"/>
              </w:rPr>
              <w:t>,3</w:t>
            </w:r>
            <w:r w:rsidR="001C31E5" w:rsidRPr="005E43BA">
              <w:rPr>
                <w:rFonts w:hint="eastAsia"/>
                <w:sz w:val="20"/>
                <w:szCs w:val="20"/>
              </w:rPr>
              <w:t>72</w:t>
            </w:r>
          </w:p>
          <w:p w:rsidR="00FC4EDA" w:rsidRPr="005E43BA" w:rsidRDefault="00FC4EDA" w:rsidP="00523F72">
            <w:pPr>
              <w:jc w:val="both"/>
              <w:rPr>
                <w:sz w:val="20"/>
                <w:szCs w:val="20"/>
              </w:rPr>
            </w:pPr>
            <w:r w:rsidRPr="005E43BA">
              <w:rPr>
                <w:rFonts w:cs="新細明體" w:hint="eastAsia"/>
                <w:sz w:val="20"/>
                <w:szCs w:val="20"/>
              </w:rPr>
              <w:t>合計：</w:t>
            </w:r>
            <w:r w:rsidRPr="005E43BA">
              <w:rPr>
                <w:rFonts w:hint="eastAsia"/>
                <w:sz w:val="20"/>
                <w:szCs w:val="20"/>
              </w:rPr>
              <w:t>1</w:t>
            </w:r>
            <w:r w:rsidRPr="005E43BA">
              <w:rPr>
                <w:sz w:val="20"/>
                <w:szCs w:val="20"/>
              </w:rPr>
              <w:t>,</w:t>
            </w:r>
            <w:r w:rsidR="001C31E5" w:rsidRPr="005E43BA">
              <w:rPr>
                <w:rFonts w:hint="eastAsia"/>
                <w:sz w:val="20"/>
                <w:szCs w:val="20"/>
              </w:rPr>
              <w:t>372</w:t>
            </w:r>
          </w:p>
        </w:tc>
        <w:tc>
          <w:tcPr>
            <w:tcW w:w="2155" w:type="dxa"/>
            <w:shd w:val="clear" w:color="auto" w:fill="auto"/>
            <w:vAlign w:val="center"/>
          </w:tcPr>
          <w:p w:rsidR="00FC4EDA" w:rsidRPr="005E43BA" w:rsidRDefault="00FC4EDA" w:rsidP="005A050A">
            <w:pPr>
              <w:pStyle w:val="Default"/>
              <w:numPr>
                <w:ilvl w:val="0"/>
                <w:numId w:val="1"/>
              </w:numPr>
              <w:autoSpaceDE/>
              <w:autoSpaceDN/>
              <w:adjustRightInd/>
              <w:jc w:val="both"/>
              <w:rPr>
                <w:rFonts w:ascii="Times New Roman"/>
                <w:color w:val="auto"/>
                <w:sz w:val="20"/>
                <w:szCs w:val="20"/>
              </w:rPr>
            </w:pPr>
            <w:r w:rsidRPr="005E43BA">
              <w:rPr>
                <w:rFonts w:ascii="Times New Roman" w:hint="eastAsia"/>
                <w:color w:val="auto"/>
                <w:sz w:val="20"/>
                <w:szCs w:val="20"/>
              </w:rPr>
              <w:t>財政收支－增進縣庫財務調度效能，平衡財政收支</w:t>
            </w:r>
          </w:p>
          <w:p w:rsidR="00FC4EDA" w:rsidRPr="005E43BA" w:rsidRDefault="00FC4EDA" w:rsidP="005A050A">
            <w:pPr>
              <w:pStyle w:val="Default"/>
              <w:numPr>
                <w:ilvl w:val="0"/>
                <w:numId w:val="1"/>
              </w:numPr>
              <w:autoSpaceDE/>
              <w:autoSpaceDN/>
              <w:adjustRightInd/>
              <w:jc w:val="both"/>
              <w:rPr>
                <w:rFonts w:ascii="Times New Roman"/>
                <w:color w:val="auto"/>
                <w:sz w:val="20"/>
                <w:szCs w:val="20"/>
              </w:rPr>
            </w:pPr>
            <w:r w:rsidRPr="005E43BA">
              <w:rPr>
                <w:rFonts w:ascii="Times New Roman" w:hint="eastAsia"/>
                <w:color w:val="auto"/>
                <w:sz w:val="20"/>
                <w:szCs w:val="20"/>
              </w:rPr>
              <w:t>加強金酒營運管理，強化行銷體質，以提昇競爭力及經營績效，增加盈餘繳庫數</w:t>
            </w:r>
          </w:p>
        </w:tc>
        <w:tc>
          <w:tcPr>
            <w:tcW w:w="3228" w:type="dxa"/>
            <w:shd w:val="clear" w:color="auto" w:fill="auto"/>
            <w:vAlign w:val="center"/>
          </w:tcPr>
          <w:p w:rsidR="00FC4EDA" w:rsidRPr="005E43BA" w:rsidRDefault="00FC4EDA" w:rsidP="005A050A">
            <w:pPr>
              <w:pStyle w:val="Default"/>
              <w:numPr>
                <w:ilvl w:val="0"/>
                <w:numId w:val="2"/>
              </w:numPr>
              <w:autoSpaceDE/>
              <w:autoSpaceDN/>
              <w:adjustRightInd/>
              <w:jc w:val="both"/>
              <w:rPr>
                <w:rFonts w:ascii="Times New Roman"/>
                <w:color w:val="auto"/>
                <w:sz w:val="20"/>
                <w:szCs w:val="20"/>
              </w:rPr>
            </w:pPr>
            <w:r w:rsidRPr="005E43BA">
              <w:rPr>
                <w:rFonts w:ascii="Times New Roman" w:hint="eastAsia"/>
                <w:color w:val="auto"/>
                <w:sz w:val="20"/>
                <w:szCs w:val="20"/>
              </w:rPr>
              <w:t>強化歲入預算及縣庫管理效能；辦理庫款孳息，增裕庫收，以應施政支出。</w:t>
            </w:r>
          </w:p>
          <w:p w:rsidR="00FC4EDA" w:rsidRPr="005E43BA" w:rsidRDefault="00FC4EDA" w:rsidP="005A050A">
            <w:pPr>
              <w:pStyle w:val="Default"/>
              <w:numPr>
                <w:ilvl w:val="0"/>
                <w:numId w:val="2"/>
              </w:numPr>
              <w:autoSpaceDE/>
              <w:autoSpaceDN/>
              <w:adjustRightInd/>
              <w:jc w:val="both"/>
              <w:rPr>
                <w:rFonts w:ascii="Times New Roman"/>
                <w:color w:val="auto"/>
                <w:sz w:val="20"/>
                <w:szCs w:val="20"/>
              </w:rPr>
            </w:pPr>
            <w:r w:rsidRPr="005E43BA">
              <w:rPr>
                <w:rFonts w:ascii="Times New Roman" w:hint="eastAsia"/>
                <w:color w:val="auto"/>
                <w:sz w:val="20"/>
                <w:szCs w:val="20"/>
              </w:rPr>
              <w:t>積極督促各業管單位加強各項欠稅及行政罰款之收繳及清理，以符公平正義原則及維護本府財源。各項收入憑證之控管與加強抽核，有效掌控收入憑證管理工作。</w:t>
            </w:r>
          </w:p>
          <w:p w:rsidR="00FC4EDA" w:rsidRPr="005E43BA" w:rsidRDefault="00FC4EDA" w:rsidP="005A050A">
            <w:pPr>
              <w:pStyle w:val="Default"/>
              <w:numPr>
                <w:ilvl w:val="0"/>
                <w:numId w:val="2"/>
              </w:numPr>
              <w:autoSpaceDE/>
              <w:autoSpaceDN/>
              <w:adjustRightInd/>
              <w:jc w:val="both"/>
              <w:rPr>
                <w:rFonts w:ascii="Times New Roman"/>
                <w:color w:val="auto"/>
                <w:sz w:val="20"/>
                <w:szCs w:val="20"/>
              </w:rPr>
            </w:pPr>
            <w:r w:rsidRPr="005E43BA">
              <w:rPr>
                <w:rFonts w:ascii="Times New Roman" w:hint="eastAsia"/>
                <w:color w:val="auto"/>
                <w:sz w:val="20"/>
                <w:szCs w:val="20"/>
              </w:rPr>
              <w:t>核發離島免稅購物商店設置同意，協助促進觀光發展。</w:t>
            </w:r>
          </w:p>
          <w:p w:rsidR="00FC4EDA" w:rsidRPr="005E43BA" w:rsidRDefault="00FC4EDA" w:rsidP="005A050A">
            <w:pPr>
              <w:pStyle w:val="Default"/>
              <w:numPr>
                <w:ilvl w:val="0"/>
                <w:numId w:val="2"/>
              </w:numPr>
              <w:autoSpaceDE/>
              <w:autoSpaceDN/>
              <w:adjustRightInd/>
              <w:jc w:val="both"/>
              <w:rPr>
                <w:rFonts w:ascii="Times New Roman"/>
                <w:color w:val="auto"/>
                <w:sz w:val="20"/>
                <w:szCs w:val="20"/>
              </w:rPr>
            </w:pPr>
            <w:r w:rsidRPr="005E43BA">
              <w:rPr>
                <w:rFonts w:ascii="Times New Roman" w:hint="eastAsia"/>
                <w:color w:val="auto"/>
                <w:sz w:val="20"/>
                <w:szCs w:val="20"/>
              </w:rPr>
              <w:t>督導金酒公司業務。</w:t>
            </w:r>
          </w:p>
        </w:tc>
        <w:tc>
          <w:tcPr>
            <w:tcW w:w="1200" w:type="dxa"/>
            <w:shd w:val="clear" w:color="auto" w:fill="auto"/>
          </w:tcPr>
          <w:p w:rsidR="00FC4EDA" w:rsidRPr="005E43BA" w:rsidRDefault="00FC4EDA" w:rsidP="00523F72">
            <w:pPr>
              <w:textDirection w:val="lrTbV"/>
              <w:rPr>
                <w:sz w:val="20"/>
                <w:szCs w:val="20"/>
              </w:rPr>
            </w:pPr>
          </w:p>
        </w:tc>
      </w:tr>
      <w:tr w:rsidR="005E43BA" w:rsidRPr="005E43BA" w:rsidTr="00A74DD7">
        <w:trPr>
          <w:trHeight w:val="2773"/>
        </w:trPr>
        <w:tc>
          <w:tcPr>
            <w:tcW w:w="1572" w:type="dxa"/>
            <w:shd w:val="clear" w:color="auto" w:fill="auto"/>
            <w:vAlign w:val="center"/>
          </w:tcPr>
          <w:p w:rsidR="00FC4EDA" w:rsidRPr="005E43BA" w:rsidRDefault="00FC4EDA" w:rsidP="00523F72">
            <w:pPr>
              <w:rPr>
                <w:sz w:val="20"/>
                <w:szCs w:val="20"/>
              </w:rPr>
            </w:pPr>
            <w:r w:rsidRPr="005E43BA">
              <w:rPr>
                <w:rFonts w:cs="新細明體" w:hint="eastAsia"/>
                <w:sz w:val="20"/>
                <w:szCs w:val="20"/>
              </w:rPr>
              <w:t>二、開發基金</w:t>
            </w:r>
          </w:p>
        </w:tc>
        <w:tc>
          <w:tcPr>
            <w:tcW w:w="1405" w:type="dxa"/>
            <w:shd w:val="clear" w:color="auto" w:fill="auto"/>
            <w:vAlign w:val="center"/>
          </w:tcPr>
          <w:p w:rsidR="00FC4EDA" w:rsidRPr="005E43BA" w:rsidRDefault="00FC4EDA" w:rsidP="00523F72">
            <w:pPr>
              <w:pStyle w:val="Default"/>
              <w:autoSpaceDE/>
              <w:autoSpaceDN/>
              <w:adjustRightInd/>
              <w:spacing w:before="120"/>
              <w:rPr>
                <w:rFonts w:ascii="Times New Roman"/>
                <w:color w:val="auto"/>
                <w:sz w:val="20"/>
                <w:szCs w:val="20"/>
              </w:rPr>
            </w:pPr>
            <w:r w:rsidRPr="005E43BA">
              <w:rPr>
                <w:rFonts w:ascii="Times New Roman" w:hint="eastAsia"/>
                <w:color w:val="auto"/>
                <w:sz w:val="20"/>
                <w:szCs w:val="20"/>
              </w:rPr>
              <w:t>中央：</w:t>
            </w:r>
            <w:r w:rsidRPr="005E43BA">
              <w:rPr>
                <w:rFonts w:ascii="Times New Roman" w:hint="eastAsia"/>
                <w:color w:val="auto"/>
                <w:sz w:val="20"/>
                <w:szCs w:val="20"/>
              </w:rPr>
              <w:t>0</w:t>
            </w:r>
          </w:p>
          <w:p w:rsidR="00FC4EDA" w:rsidRPr="005E43BA" w:rsidRDefault="00FC4EDA" w:rsidP="00523F72">
            <w:pPr>
              <w:ind w:leftChars="-50" w:left="-120"/>
              <w:rPr>
                <w:sz w:val="20"/>
                <w:szCs w:val="20"/>
              </w:rPr>
            </w:pPr>
            <w:r w:rsidRPr="005E43BA">
              <w:rPr>
                <w:rFonts w:hint="eastAsia"/>
                <w:sz w:val="20"/>
                <w:szCs w:val="20"/>
              </w:rPr>
              <w:t xml:space="preserve">   </w:t>
            </w:r>
            <w:r w:rsidRPr="005E43BA">
              <w:rPr>
                <w:rFonts w:cs="新細明體" w:hint="eastAsia"/>
                <w:sz w:val="20"/>
                <w:szCs w:val="20"/>
              </w:rPr>
              <w:t>縣：</w:t>
            </w:r>
            <w:r w:rsidRPr="005E43BA">
              <w:rPr>
                <w:rFonts w:hint="eastAsia"/>
                <w:sz w:val="20"/>
                <w:szCs w:val="20"/>
              </w:rPr>
              <w:t>4</w:t>
            </w:r>
            <w:r w:rsidRPr="005E43BA">
              <w:rPr>
                <w:sz w:val="20"/>
                <w:szCs w:val="20"/>
              </w:rPr>
              <w:t>,</w:t>
            </w:r>
            <w:r w:rsidR="001C31E5" w:rsidRPr="005E43BA">
              <w:rPr>
                <w:rFonts w:hint="eastAsia"/>
                <w:sz w:val="20"/>
                <w:szCs w:val="20"/>
              </w:rPr>
              <w:t>153</w:t>
            </w:r>
          </w:p>
          <w:p w:rsidR="00FC4EDA" w:rsidRPr="005E43BA" w:rsidRDefault="00FC4EDA" w:rsidP="00523F72">
            <w:pPr>
              <w:ind w:leftChars="-50" w:left="-120"/>
              <w:rPr>
                <w:sz w:val="20"/>
                <w:szCs w:val="20"/>
              </w:rPr>
            </w:pPr>
            <w:r w:rsidRPr="005E43BA">
              <w:rPr>
                <w:rFonts w:hint="eastAsia"/>
                <w:sz w:val="20"/>
                <w:szCs w:val="20"/>
              </w:rPr>
              <w:t xml:space="preserve"> </w:t>
            </w:r>
            <w:r w:rsidRPr="005E43BA">
              <w:rPr>
                <w:rFonts w:cs="新細明體" w:hint="eastAsia"/>
                <w:sz w:val="20"/>
                <w:szCs w:val="20"/>
              </w:rPr>
              <w:t>合計：</w:t>
            </w:r>
            <w:r w:rsidRPr="005E43BA">
              <w:rPr>
                <w:rFonts w:hint="eastAsia"/>
                <w:sz w:val="20"/>
                <w:szCs w:val="20"/>
              </w:rPr>
              <w:t>4</w:t>
            </w:r>
            <w:r w:rsidRPr="005E43BA">
              <w:rPr>
                <w:sz w:val="20"/>
                <w:szCs w:val="20"/>
              </w:rPr>
              <w:t>,</w:t>
            </w:r>
            <w:r w:rsidR="001C31E5" w:rsidRPr="005E43BA">
              <w:rPr>
                <w:rFonts w:hint="eastAsia"/>
                <w:sz w:val="20"/>
                <w:szCs w:val="20"/>
              </w:rPr>
              <w:t>153</w:t>
            </w:r>
          </w:p>
        </w:tc>
        <w:tc>
          <w:tcPr>
            <w:tcW w:w="2155" w:type="dxa"/>
            <w:shd w:val="clear" w:color="auto" w:fill="auto"/>
            <w:vAlign w:val="center"/>
          </w:tcPr>
          <w:p w:rsidR="00FC4EDA" w:rsidRPr="005E43BA" w:rsidRDefault="00FC4EDA" w:rsidP="00523F72">
            <w:pPr>
              <w:pStyle w:val="Default"/>
              <w:autoSpaceDE/>
              <w:autoSpaceDN/>
              <w:adjustRightInd/>
              <w:rPr>
                <w:rFonts w:ascii="Times New Roman"/>
                <w:color w:val="auto"/>
                <w:sz w:val="20"/>
                <w:szCs w:val="20"/>
              </w:rPr>
            </w:pPr>
            <w:r w:rsidRPr="005E43BA">
              <w:rPr>
                <w:rFonts w:ascii="Times New Roman" w:hint="eastAsia"/>
                <w:color w:val="auto"/>
                <w:sz w:val="20"/>
                <w:szCs w:val="20"/>
              </w:rPr>
              <w:t>開發基金管理</w:t>
            </w:r>
          </w:p>
        </w:tc>
        <w:tc>
          <w:tcPr>
            <w:tcW w:w="3228" w:type="dxa"/>
            <w:shd w:val="clear" w:color="auto" w:fill="auto"/>
            <w:vAlign w:val="center"/>
          </w:tcPr>
          <w:p w:rsidR="00FC4EDA" w:rsidRPr="005E43BA" w:rsidRDefault="00FC4EDA" w:rsidP="005A050A">
            <w:pPr>
              <w:pStyle w:val="Default"/>
              <w:numPr>
                <w:ilvl w:val="0"/>
                <w:numId w:val="3"/>
              </w:numPr>
              <w:autoSpaceDE/>
              <w:autoSpaceDN/>
              <w:adjustRightInd/>
              <w:jc w:val="both"/>
              <w:rPr>
                <w:rFonts w:ascii="Times New Roman"/>
                <w:color w:val="auto"/>
                <w:sz w:val="20"/>
                <w:szCs w:val="20"/>
              </w:rPr>
            </w:pPr>
            <w:r w:rsidRPr="005E43BA">
              <w:rPr>
                <w:rFonts w:ascii="Times New Roman" w:hint="eastAsia"/>
                <w:color w:val="auto"/>
                <w:sz w:val="20"/>
                <w:szCs w:val="20"/>
              </w:rPr>
              <w:t>配合目的事業單位，扶植地區農、漁牧及工商業之發展並鼓勵青年創業貸款，以促進地方繁榮進步。</w:t>
            </w:r>
          </w:p>
          <w:p w:rsidR="00FC4EDA" w:rsidRPr="005E43BA" w:rsidRDefault="00FC4EDA" w:rsidP="005A050A">
            <w:pPr>
              <w:pStyle w:val="Default"/>
              <w:numPr>
                <w:ilvl w:val="0"/>
                <w:numId w:val="3"/>
              </w:numPr>
              <w:autoSpaceDE/>
              <w:autoSpaceDN/>
              <w:adjustRightInd/>
              <w:jc w:val="both"/>
              <w:rPr>
                <w:rFonts w:ascii="Times New Roman"/>
                <w:color w:val="auto"/>
                <w:sz w:val="20"/>
                <w:szCs w:val="20"/>
              </w:rPr>
            </w:pPr>
            <w:r w:rsidRPr="005E43BA">
              <w:rPr>
                <w:rFonts w:ascii="Times New Roman" w:hint="eastAsia"/>
                <w:color w:val="auto"/>
                <w:sz w:val="20"/>
                <w:szCs w:val="20"/>
              </w:rPr>
              <w:t>酒品倉儲計畫</w:t>
            </w:r>
            <w:r w:rsidR="001C31E5" w:rsidRPr="005E43BA">
              <w:rPr>
                <w:rFonts w:ascii="Times New Roman" w:hint="eastAsia"/>
                <w:color w:val="auto"/>
                <w:sz w:val="20"/>
                <w:szCs w:val="20"/>
              </w:rPr>
              <w:t>8</w:t>
            </w:r>
            <w:r w:rsidRPr="005E43BA">
              <w:rPr>
                <w:rFonts w:ascii="Times New Roman" w:hint="eastAsia"/>
                <w:color w:val="auto"/>
                <w:sz w:val="20"/>
                <w:szCs w:val="20"/>
              </w:rPr>
              <w:t>千</w:t>
            </w:r>
            <w:r w:rsidR="001C31E5" w:rsidRPr="005E43BA">
              <w:rPr>
                <w:rFonts w:ascii="Times New Roman" w:hint="eastAsia"/>
                <w:color w:val="auto"/>
                <w:sz w:val="20"/>
                <w:szCs w:val="20"/>
              </w:rPr>
              <w:t>7</w:t>
            </w:r>
            <w:r w:rsidR="001C31E5" w:rsidRPr="005E43BA">
              <w:rPr>
                <w:rFonts w:ascii="Times New Roman" w:hint="eastAsia"/>
                <w:color w:val="auto"/>
                <w:sz w:val="20"/>
                <w:szCs w:val="20"/>
              </w:rPr>
              <w:t>佰</w:t>
            </w:r>
            <w:r w:rsidRPr="005E43BA">
              <w:rPr>
                <w:rFonts w:ascii="Times New Roman" w:hint="eastAsia"/>
                <w:color w:val="auto"/>
                <w:sz w:val="20"/>
                <w:szCs w:val="20"/>
              </w:rPr>
              <w:t>萬元。</w:t>
            </w:r>
          </w:p>
          <w:p w:rsidR="00FC4EDA" w:rsidRPr="005E43BA" w:rsidRDefault="00FC4EDA" w:rsidP="001C31E5">
            <w:pPr>
              <w:pStyle w:val="Default"/>
              <w:numPr>
                <w:ilvl w:val="0"/>
                <w:numId w:val="3"/>
              </w:numPr>
              <w:autoSpaceDE/>
              <w:autoSpaceDN/>
              <w:adjustRightInd/>
              <w:jc w:val="both"/>
              <w:rPr>
                <w:rFonts w:ascii="Times New Roman"/>
                <w:color w:val="auto"/>
                <w:sz w:val="20"/>
                <w:szCs w:val="20"/>
              </w:rPr>
            </w:pPr>
            <w:r w:rsidRPr="005E43BA">
              <w:rPr>
                <w:rFonts w:ascii="Times New Roman" w:hint="eastAsia"/>
                <w:color w:val="auto"/>
                <w:sz w:val="20"/>
                <w:szCs w:val="20"/>
              </w:rPr>
              <w:t>協助地區重要產業發展及增加基金收入。</w:t>
            </w:r>
          </w:p>
        </w:tc>
        <w:tc>
          <w:tcPr>
            <w:tcW w:w="1200" w:type="dxa"/>
            <w:shd w:val="clear" w:color="auto" w:fill="auto"/>
          </w:tcPr>
          <w:p w:rsidR="003B086B" w:rsidRPr="005E43BA" w:rsidRDefault="003B086B" w:rsidP="00523F72">
            <w:pPr>
              <w:spacing w:before="120"/>
              <w:ind w:leftChars="-50" w:left="-120"/>
              <w:jc w:val="both"/>
              <w:rPr>
                <w:sz w:val="20"/>
                <w:szCs w:val="20"/>
              </w:rPr>
            </w:pPr>
          </w:p>
          <w:p w:rsidR="003B086B" w:rsidRPr="005E43BA" w:rsidRDefault="003B086B" w:rsidP="003B086B">
            <w:pPr>
              <w:rPr>
                <w:sz w:val="20"/>
                <w:szCs w:val="20"/>
              </w:rPr>
            </w:pPr>
          </w:p>
          <w:p w:rsidR="003B086B" w:rsidRPr="005E43BA" w:rsidRDefault="003B086B" w:rsidP="003B086B">
            <w:pPr>
              <w:rPr>
                <w:sz w:val="20"/>
                <w:szCs w:val="20"/>
              </w:rPr>
            </w:pPr>
          </w:p>
          <w:p w:rsidR="003B086B" w:rsidRPr="005E43BA" w:rsidRDefault="003B086B" w:rsidP="003B086B">
            <w:pPr>
              <w:rPr>
                <w:sz w:val="20"/>
                <w:szCs w:val="20"/>
              </w:rPr>
            </w:pPr>
          </w:p>
          <w:p w:rsidR="00FC4EDA" w:rsidRPr="005E43BA" w:rsidRDefault="003B086B" w:rsidP="003B086B">
            <w:pPr>
              <w:tabs>
                <w:tab w:val="left" w:pos="720"/>
              </w:tabs>
              <w:rPr>
                <w:sz w:val="20"/>
                <w:szCs w:val="20"/>
              </w:rPr>
            </w:pPr>
            <w:r w:rsidRPr="005E43BA">
              <w:rPr>
                <w:sz w:val="20"/>
                <w:szCs w:val="20"/>
              </w:rPr>
              <w:tab/>
            </w:r>
          </w:p>
        </w:tc>
      </w:tr>
      <w:tr w:rsidR="005E43BA" w:rsidRPr="005E43BA" w:rsidTr="00523F72">
        <w:tc>
          <w:tcPr>
            <w:tcW w:w="1572" w:type="dxa"/>
            <w:vAlign w:val="center"/>
          </w:tcPr>
          <w:p w:rsidR="00FC4EDA" w:rsidRPr="005E43BA" w:rsidRDefault="008775AE" w:rsidP="00523F72">
            <w:pPr>
              <w:jc w:val="both"/>
              <w:rPr>
                <w:sz w:val="20"/>
                <w:szCs w:val="20"/>
              </w:rPr>
            </w:pPr>
            <w:r w:rsidRPr="005E43BA">
              <w:rPr>
                <w:rFonts w:cs="新細明體" w:hint="eastAsia"/>
                <w:sz w:val="20"/>
                <w:szCs w:val="20"/>
              </w:rPr>
              <w:t>三</w:t>
            </w:r>
            <w:r w:rsidR="00FC4EDA" w:rsidRPr="005E43BA">
              <w:rPr>
                <w:rFonts w:cs="新細明體" w:hint="eastAsia"/>
                <w:sz w:val="20"/>
                <w:szCs w:val="20"/>
              </w:rPr>
              <w:t>、公產管理</w:t>
            </w:r>
          </w:p>
        </w:tc>
        <w:tc>
          <w:tcPr>
            <w:tcW w:w="1405" w:type="dxa"/>
            <w:vAlign w:val="center"/>
          </w:tcPr>
          <w:p w:rsidR="00FC4EDA" w:rsidRPr="005E43BA" w:rsidRDefault="00FC4EDA" w:rsidP="00523F72">
            <w:pPr>
              <w:ind w:leftChars="-50" w:left="-120"/>
              <w:jc w:val="both"/>
              <w:rPr>
                <w:sz w:val="20"/>
                <w:szCs w:val="20"/>
              </w:rPr>
            </w:pPr>
            <w:r w:rsidRPr="005E43BA">
              <w:rPr>
                <w:rFonts w:cs="新細明體" w:hint="eastAsia"/>
                <w:sz w:val="20"/>
                <w:szCs w:val="20"/>
              </w:rPr>
              <w:t xml:space="preserve"> </w:t>
            </w:r>
            <w:r w:rsidRPr="005E43BA">
              <w:rPr>
                <w:rFonts w:cs="新細明體" w:hint="eastAsia"/>
                <w:sz w:val="20"/>
                <w:szCs w:val="20"/>
              </w:rPr>
              <w:t>中央：</w:t>
            </w:r>
            <w:r w:rsidRPr="005E43BA">
              <w:rPr>
                <w:rFonts w:hint="eastAsia"/>
                <w:sz w:val="20"/>
                <w:szCs w:val="20"/>
              </w:rPr>
              <w:t>0</w:t>
            </w:r>
          </w:p>
          <w:p w:rsidR="00FC4EDA" w:rsidRPr="005E43BA" w:rsidRDefault="00FC4EDA" w:rsidP="00523F72">
            <w:pPr>
              <w:ind w:leftChars="-50" w:left="-120"/>
              <w:jc w:val="both"/>
              <w:rPr>
                <w:sz w:val="20"/>
                <w:szCs w:val="20"/>
              </w:rPr>
            </w:pPr>
            <w:r w:rsidRPr="005E43BA">
              <w:rPr>
                <w:rFonts w:hint="eastAsia"/>
                <w:sz w:val="20"/>
                <w:szCs w:val="20"/>
              </w:rPr>
              <w:t xml:space="preserve">   </w:t>
            </w:r>
            <w:r w:rsidRPr="005E43BA">
              <w:rPr>
                <w:rFonts w:cs="新細明體" w:hint="eastAsia"/>
                <w:sz w:val="20"/>
                <w:szCs w:val="20"/>
              </w:rPr>
              <w:t>縣：</w:t>
            </w:r>
            <w:r w:rsidRPr="005E43BA">
              <w:rPr>
                <w:rFonts w:hint="eastAsia"/>
                <w:sz w:val="20"/>
                <w:szCs w:val="20"/>
              </w:rPr>
              <w:t>4</w:t>
            </w:r>
            <w:r w:rsidRPr="005E43BA">
              <w:rPr>
                <w:sz w:val="20"/>
                <w:szCs w:val="20"/>
              </w:rPr>
              <w:t>,</w:t>
            </w:r>
            <w:r w:rsidR="00580F66" w:rsidRPr="005E43BA">
              <w:rPr>
                <w:rFonts w:hint="eastAsia"/>
                <w:sz w:val="20"/>
                <w:szCs w:val="20"/>
              </w:rPr>
              <w:t>67</w:t>
            </w:r>
            <w:r w:rsidR="00EA6C58" w:rsidRPr="005E43BA">
              <w:rPr>
                <w:rFonts w:hint="eastAsia"/>
                <w:sz w:val="20"/>
                <w:szCs w:val="20"/>
              </w:rPr>
              <w:t>2</w:t>
            </w:r>
          </w:p>
          <w:p w:rsidR="00FC4EDA" w:rsidRPr="005E43BA" w:rsidRDefault="00FC4EDA" w:rsidP="00EA6C58">
            <w:pPr>
              <w:ind w:leftChars="-50" w:left="-120"/>
              <w:jc w:val="both"/>
              <w:rPr>
                <w:sz w:val="20"/>
                <w:szCs w:val="20"/>
              </w:rPr>
            </w:pPr>
            <w:r w:rsidRPr="005E43BA">
              <w:rPr>
                <w:rFonts w:cs="新細明體" w:hint="eastAsia"/>
                <w:sz w:val="20"/>
                <w:szCs w:val="20"/>
              </w:rPr>
              <w:t xml:space="preserve"> </w:t>
            </w:r>
            <w:r w:rsidRPr="005E43BA">
              <w:rPr>
                <w:rFonts w:cs="新細明體" w:hint="eastAsia"/>
                <w:sz w:val="20"/>
                <w:szCs w:val="20"/>
              </w:rPr>
              <w:t>合計：</w:t>
            </w:r>
            <w:r w:rsidR="00580F66" w:rsidRPr="005E43BA">
              <w:rPr>
                <w:rFonts w:cs="新細明體" w:hint="eastAsia"/>
                <w:sz w:val="20"/>
                <w:szCs w:val="20"/>
              </w:rPr>
              <w:t>4</w:t>
            </w:r>
            <w:r w:rsidRPr="005E43BA">
              <w:rPr>
                <w:sz w:val="20"/>
                <w:szCs w:val="20"/>
              </w:rPr>
              <w:t>,</w:t>
            </w:r>
            <w:r w:rsidR="00580F66" w:rsidRPr="005E43BA">
              <w:rPr>
                <w:rFonts w:hint="eastAsia"/>
                <w:sz w:val="20"/>
                <w:szCs w:val="20"/>
              </w:rPr>
              <w:t>67</w:t>
            </w:r>
            <w:r w:rsidR="00EA6C58" w:rsidRPr="005E43BA">
              <w:rPr>
                <w:rFonts w:hint="eastAsia"/>
                <w:sz w:val="20"/>
                <w:szCs w:val="20"/>
              </w:rPr>
              <w:t>2</w:t>
            </w:r>
          </w:p>
        </w:tc>
        <w:tc>
          <w:tcPr>
            <w:tcW w:w="2155" w:type="dxa"/>
            <w:vAlign w:val="center"/>
          </w:tcPr>
          <w:p w:rsidR="00FC4EDA" w:rsidRPr="005E43BA" w:rsidRDefault="00FC4EDA" w:rsidP="00523F72">
            <w:pPr>
              <w:jc w:val="both"/>
              <w:rPr>
                <w:sz w:val="20"/>
                <w:szCs w:val="20"/>
              </w:rPr>
            </w:pPr>
            <w:r w:rsidRPr="005E43BA">
              <w:rPr>
                <w:rFonts w:cs="新細明體" w:hint="eastAsia"/>
                <w:sz w:val="20"/>
                <w:szCs w:val="20"/>
              </w:rPr>
              <w:t>財政業務─公產管理</w:t>
            </w:r>
          </w:p>
        </w:tc>
        <w:tc>
          <w:tcPr>
            <w:tcW w:w="3228" w:type="dxa"/>
            <w:vAlign w:val="center"/>
          </w:tcPr>
          <w:p w:rsidR="00FC4EDA" w:rsidRPr="005E43BA" w:rsidRDefault="00FC4EDA" w:rsidP="005A050A">
            <w:pPr>
              <w:pStyle w:val="Default"/>
              <w:numPr>
                <w:ilvl w:val="0"/>
                <w:numId w:val="128"/>
              </w:numPr>
              <w:autoSpaceDE/>
              <w:autoSpaceDN/>
              <w:adjustRightInd/>
              <w:jc w:val="both"/>
              <w:rPr>
                <w:rFonts w:ascii="Times New Roman"/>
                <w:color w:val="auto"/>
                <w:sz w:val="20"/>
                <w:szCs w:val="20"/>
              </w:rPr>
            </w:pPr>
            <w:r w:rsidRPr="005E43BA">
              <w:rPr>
                <w:rFonts w:ascii="Times New Roman" w:hint="eastAsia"/>
                <w:color w:val="auto"/>
                <w:sz w:val="20"/>
                <w:szCs w:val="20"/>
              </w:rPr>
              <w:t>健全縣有財產產籍管理建置完整資料庫，執行財產之處分、出租、撥用、清查占用等管制及管理。</w:t>
            </w:r>
          </w:p>
          <w:p w:rsidR="00FC4EDA" w:rsidRPr="005E43BA" w:rsidRDefault="00FC4EDA" w:rsidP="005A050A">
            <w:pPr>
              <w:pStyle w:val="Default"/>
              <w:numPr>
                <w:ilvl w:val="0"/>
                <w:numId w:val="128"/>
              </w:numPr>
              <w:autoSpaceDE/>
              <w:autoSpaceDN/>
              <w:adjustRightInd/>
              <w:jc w:val="both"/>
              <w:rPr>
                <w:rFonts w:ascii="Times New Roman"/>
                <w:color w:val="auto"/>
                <w:sz w:val="20"/>
                <w:szCs w:val="20"/>
              </w:rPr>
            </w:pPr>
            <w:r w:rsidRPr="005E43BA">
              <w:rPr>
                <w:rFonts w:ascii="Times New Roman" w:hint="eastAsia"/>
                <w:color w:val="auto"/>
                <w:sz w:val="20"/>
                <w:szCs w:val="20"/>
              </w:rPr>
              <w:t>公用財產之檢核監督管理、財產總帳之建置及各管理機關經管</w:t>
            </w:r>
            <w:r w:rsidRPr="005E43BA">
              <w:rPr>
                <w:rFonts w:ascii="Times New Roman" w:hint="eastAsia"/>
                <w:color w:val="auto"/>
                <w:sz w:val="20"/>
                <w:szCs w:val="20"/>
              </w:rPr>
              <w:lastRenderedPageBreak/>
              <w:t>房地之輔導與管制等事項，提高使用效率，有效活化運用。</w:t>
            </w:r>
          </w:p>
          <w:p w:rsidR="00FC4EDA" w:rsidRPr="005E43BA" w:rsidRDefault="00FC4EDA" w:rsidP="005A050A">
            <w:pPr>
              <w:pStyle w:val="Default"/>
              <w:numPr>
                <w:ilvl w:val="0"/>
                <w:numId w:val="128"/>
              </w:numPr>
              <w:autoSpaceDE/>
              <w:autoSpaceDN/>
              <w:adjustRightInd/>
              <w:jc w:val="both"/>
              <w:rPr>
                <w:rFonts w:ascii="Times New Roman"/>
                <w:color w:val="auto"/>
                <w:sz w:val="20"/>
                <w:szCs w:val="20"/>
              </w:rPr>
            </w:pPr>
            <w:r w:rsidRPr="005E43BA">
              <w:rPr>
                <w:rFonts w:ascii="Times New Roman" w:hint="eastAsia"/>
                <w:color w:val="auto"/>
                <w:sz w:val="20"/>
                <w:szCs w:val="20"/>
              </w:rPr>
              <w:t>推行</w:t>
            </w:r>
            <w:r w:rsidR="00580F66" w:rsidRPr="005E43BA">
              <w:rPr>
                <w:rFonts w:hint="eastAsia"/>
                <w:color w:val="auto"/>
                <w:sz w:val="20"/>
                <w:szCs w:val="20"/>
              </w:rPr>
              <w:t>台北惜物網</w:t>
            </w:r>
            <w:r w:rsidRPr="005E43BA">
              <w:rPr>
                <w:rFonts w:ascii="Times New Roman" w:hint="eastAsia"/>
                <w:color w:val="auto"/>
                <w:sz w:val="20"/>
                <w:szCs w:val="20"/>
              </w:rPr>
              <w:t>動產報廢、報損之物上網，積極開源節流。</w:t>
            </w:r>
          </w:p>
          <w:p w:rsidR="00FC4EDA" w:rsidRPr="005E43BA" w:rsidRDefault="00FC4EDA" w:rsidP="005A050A">
            <w:pPr>
              <w:pStyle w:val="Default"/>
              <w:numPr>
                <w:ilvl w:val="0"/>
                <w:numId w:val="128"/>
              </w:numPr>
              <w:autoSpaceDE/>
              <w:autoSpaceDN/>
              <w:adjustRightInd/>
              <w:jc w:val="both"/>
              <w:rPr>
                <w:rFonts w:ascii="Times New Roman"/>
                <w:color w:val="auto"/>
                <w:sz w:val="20"/>
                <w:szCs w:val="20"/>
              </w:rPr>
            </w:pPr>
            <w:r w:rsidRPr="005E43BA">
              <w:rPr>
                <w:rFonts w:ascii="Times New Roman" w:hint="eastAsia"/>
                <w:color w:val="auto"/>
                <w:sz w:val="20"/>
                <w:szCs w:val="20"/>
              </w:rPr>
              <w:t>清查盤點各機關學校財產，處理縣有土地被占用追收使用補償金及放租利用。</w:t>
            </w:r>
          </w:p>
          <w:p w:rsidR="00FC4EDA" w:rsidRPr="005E43BA" w:rsidRDefault="00FC4EDA" w:rsidP="005A050A">
            <w:pPr>
              <w:pStyle w:val="Default"/>
              <w:numPr>
                <w:ilvl w:val="0"/>
                <w:numId w:val="128"/>
              </w:numPr>
              <w:autoSpaceDE/>
              <w:autoSpaceDN/>
              <w:adjustRightInd/>
              <w:jc w:val="both"/>
              <w:rPr>
                <w:rFonts w:ascii="Times New Roman"/>
                <w:color w:val="auto"/>
                <w:sz w:val="20"/>
                <w:szCs w:val="20"/>
              </w:rPr>
            </w:pPr>
            <w:r w:rsidRPr="005E43BA">
              <w:rPr>
                <w:rFonts w:ascii="Times New Roman" w:hint="eastAsia"/>
                <w:color w:val="auto"/>
                <w:sz w:val="20"/>
                <w:szCs w:val="20"/>
              </w:rPr>
              <w:t>軍事閒置營區土地資料建檔及建立公地資料，撥用活化，完整保留戰地史蹟，提昇觀光特色。</w:t>
            </w:r>
          </w:p>
          <w:p w:rsidR="00FC4EDA" w:rsidRPr="005E43BA" w:rsidRDefault="00FC4EDA" w:rsidP="005A050A">
            <w:pPr>
              <w:pStyle w:val="Default"/>
              <w:numPr>
                <w:ilvl w:val="0"/>
                <w:numId w:val="128"/>
              </w:numPr>
              <w:autoSpaceDE/>
              <w:autoSpaceDN/>
              <w:adjustRightInd/>
              <w:jc w:val="both"/>
              <w:rPr>
                <w:rFonts w:ascii="Times New Roman"/>
                <w:color w:val="auto"/>
                <w:sz w:val="20"/>
                <w:szCs w:val="20"/>
              </w:rPr>
            </w:pPr>
            <w:r w:rsidRPr="005E43BA">
              <w:rPr>
                <w:rFonts w:ascii="Times New Roman" w:hint="eastAsia"/>
                <w:color w:val="auto"/>
                <w:sz w:val="20"/>
                <w:szCs w:val="20"/>
              </w:rPr>
              <w:t>執行「離島建設條例」第</w:t>
            </w:r>
            <w:r w:rsidRPr="005E43BA">
              <w:rPr>
                <w:rFonts w:ascii="Times New Roman"/>
                <w:color w:val="auto"/>
                <w:sz w:val="20"/>
                <w:szCs w:val="20"/>
              </w:rPr>
              <w:t>9</w:t>
            </w:r>
            <w:r w:rsidRPr="005E43BA">
              <w:rPr>
                <w:rFonts w:ascii="Times New Roman" w:hint="eastAsia"/>
                <w:color w:val="auto"/>
                <w:sz w:val="20"/>
                <w:szCs w:val="20"/>
              </w:rPr>
              <w:t>條民眾申請購回或讓售縣有土地處分案。</w:t>
            </w:r>
          </w:p>
          <w:p w:rsidR="00FC4EDA" w:rsidRPr="005E43BA" w:rsidRDefault="008E6538" w:rsidP="005A050A">
            <w:pPr>
              <w:pStyle w:val="Default"/>
              <w:numPr>
                <w:ilvl w:val="0"/>
                <w:numId w:val="128"/>
              </w:numPr>
              <w:autoSpaceDE/>
              <w:autoSpaceDN/>
              <w:adjustRightInd/>
              <w:jc w:val="both"/>
              <w:rPr>
                <w:color w:val="auto"/>
                <w:sz w:val="20"/>
                <w:szCs w:val="20"/>
              </w:rPr>
            </w:pPr>
            <w:r w:rsidRPr="005E43BA">
              <w:rPr>
                <w:rFonts w:ascii="Times New Roman" w:hint="eastAsia"/>
                <w:color w:val="auto"/>
                <w:sz w:val="20"/>
                <w:szCs w:val="20"/>
              </w:rPr>
              <w:t>配合公共建設用地需用私有地，以公有非公用土地「交換」方式，解決公共建設用地取得問題，促進地方建設發展。</w:t>
            </w:r>
          </w:p>
        </w:tc>
        <w:tc>
          <w:tcPr>
            <w:tcW w:w="1200" w:type="dxa"/>
            <w:vAlign w:val="center"/>
          </w:tcPr>
          <w:p w:rsidR="00FC4EDA" w:rsidRPr="005E43BA" w:rsidRDefault="00FC4EDA" w:rsidP="00523F72">
            <w:pPr>
              <w:jc w:val="both"/>
              <w:rPr>
                <w:b/>
                <w:sz w:val="20"/>
                <w:szCs w:val="20"/>
              </w:rPr>
            </w:pPr>
          </w:p>
        </w:tc>
      </w:tr>
      <w:tr w:rsidR="005E43BA" w:rsidRPr="005E43BA" w:rsidTr="00523F72">
        <w:tc>
          <w:tcPr>
            <w:tcW w:w="1572" w:type="dxa"/>
            <w:shd w:val="clear" w:color="auto" w:fill="auto"/>
            <w:vAlign w:val="center"/>
          </w:tcPr>
          <w:p w:rsidR="00E95C85" w:rsidRPr="005E43BA" w:rsidRDefault="008775AE" w:rsidP="00E95C85">
            <w:pPr>
              <w:jc w:val="both"/>
              <w:textDirection w:val="lrTbV"/>
              <w:rPr>
                <w:rFonts w:ascii="新細明體" w:hAnsi="新細明體"/>
                <w:sz w:val="20"/>
                <w:szCs w:val="20"/>
              </w:rPr>
            </w:pPr>
            <w:r w:rsidRPr="005E43BA">
              <w:rPr>
                <w:rFonts w:ascii="新細明體" w:hAnsi="新細明體" w:hint="eastAsia"/>
                <w:sz w:val="20"/>
                <w:szCs w:val="20"/>
              </w:rPr>
              <w:lastRenderedPageBreak/>
              <w:t>四</w:t>
            </w:r>
            <w:r w:rsidR="00E95C85" w:rsidRPr="005E43BA">
              <w:rPr>
                <w:rFonts w:ascii="新細明體" w:hAnsi="新細明體" w:hint="eastAsia"/>
                <w:sz w:val="20"/>
                <w:szCs w:val="20"/>
              </w:rPr>
              <w:t>、投資發展</w:t>
            </w:r>
          </w:p>
        </w:tc>
        <w:tc>
          <w:tcPr>
            <w:tcW w:w="1405" w:type="dxa"/>
            <w:shd w:val="clear" w:color="auto" w:fill="auto"/>
            <w:vAlign w:val="center"/>
          </w:tcPr>
          <w:p w:rsidR="00E95C85" w:rsidRPr="005E43BA" w:rsidRDefault="00E95C85" w:rsidP="00E95C85">
            <w:pPr>
              <w:pStyle w:val="Default"/>
              <w:adjustRightInd/>
              <w:spacing w:before="120"/>
              <w:rPr>
                <w:rFonts w:hAnsi="新細明體"/>
                <w:color w:val="auto"/>
                <w:sz w:val="20"/>
                <w:szCs w:val="20"/>
              </w:rPr>
            </w:pPr>
            <w:r w:rsidRPr="005E43BA">
              <w:rPr>
                <w:rFonts w:hAnsi="新細明體" w:hint="eastAsia"/>
                <w:color w:val="auto"/>
                <w:sz w:val="20"/>
                <w:szCs w:val="20"/>
              </w:rPr>
              <w:t>中央：0</w:t>
            </w:r>
          </w:p>
          <w:p w:rsidR="00E95C85" w:rsidRPr="005E43BA" w:rsidRDefault="00E95C85" w:rsidP="00E95C85">
            <w:pPr>
              <w:textDirection w:val="lrTbV"/>
              <w:rPr>
                <w:rFonts w:ascii="新細明體" w:hAnsi="新細明體"/>
                <w:sz w:val="20"/>
                <w:szCs w:val="20"/>
              </w:rPr>
            </w:pPr>
            <w:r w:rsidRPr="005E43BA">
              <w:rPr>
                <w:rFonts w:ascii="新細明體" w:hAnsi="新細明體" w:hint="eastAsia"/>
                <w:sz w:val="20"/>
                <w:szCs w:val="20"/>
              </w:rPr>
              <w:t xml:space="preserve">  縣：4</w:t>
            </w:r>
            <w:r w:rsidRPr="005E43BA">
              <w:rPr>
                <w:rFonts w:ascii="新細明體" w:hAnsi="新細明體"/>
                <w:sz w:val="20"/>
                <w:szCs w:val="20"/>
              </w:rPr>
              <w:t>93</w:t>
            </w:r>
          </w:p>
          <w:p w:rsidR="00E95C85" w:rsidRPr="005E43BA" w:rsidRDefault="00E95C85" w:rsidP="00E95C85">
            <w:pPr>
              <w:textDirection w:val="lrTbV"/>
              <w:rPr>
                <w:rFonts w:ascii="新細明體" w:hAnsi="新細明體"/>
                <w:sz w:val="20"/>
                <w:szCs w:val="20"/>
              </w:rPr>
            </w:pPr>
            <w:r w:rsidRPr="005E43BA">
              <w:rPr>
                <w:rFonts w:ascii="新細明體" w:hAnsi="新細明體" w:hint="eastAsia"/>
                <w:sz w:val="20"/>
                <w:szCs w:val="20"/>
              </w:rPr>
              <w:t>合計：4</w:t>
            </w:r>
            <w:r w:rsidRPr="005E43BA">
              <w:rPr>
                <w:rFonts w:ascii="新細明體" w:hAnsi="新細明體"/>
                <w:sz w:val="20"/>
                <w:szCs w:val="20"/>
              </w:rPr>
              <w:t>93</w:t>
            </w:r>
          </w:p>
        </w:tc>
        <w:tc>
          <w:tcPr>
            <w:tcW w:w="2155" w:type="dxa"/>
            <w:shd w:val="clear" w:color="auto" w:fill="auto"/>
            <w:vAlign w:val="center"/>
          </w:tcPr>
          <w:p w:rsidR="00E95C85" w:rsidRPr="005E43BA" w:rsidRDefault="00E95C85" w:rsidP="00E95C85">
            <w:pPr>
              <w:textDirection w:val="lrTbV"/>
              <w:rPr>
                <w:rFonts w:ascii="新細明體" w:hAnsi="新細明體" w:cs="新細明體"/>
                <w:kern w:val="0"/>
                <w:sz w:val="20"/>
                <w:szCs w:val="20"/>
              </w:rPr>
            </w:pPr>
            <w:r w:rsidRPr="005E43BA">
              <w:rPr>
                <w:rFonts w:ascii="新細明體" w:hAnsi="新細明體" w:cs="新細明體" w:hint="eastAsia"/>
                <w:kern w:val="0"/>
                <w:sz w:val="20"/>
                <w:szCs w:val="20"/>
              </w:rPr>
              <w:t>促進縣產利用效益、充實縣庫財源</w:t>
            </w:r>
          </w:p>
        </w:tc>
        <w:tc>
          <w:tcPr>
            <w:tcW w:w="3228" w:type="dxa"/>
            <w:shd w:val="clear" w:color="auto" w:fill="auto"/>
            <w:vAlign w:val="center"/>
          </w:tcPr>
          <w:p w:rsidR="00E95C85" w:rsidRPr="005E43BA" w:rsidRDefault="00E95C85" w:rsidP="00E95C85">
            <w:pPr>
              <w:textDirection w:val="lrTbV"/>
              <w:rPr>
                <w:rFonts w:ascii="新細明體" w:hAnsi="新細明體" w:cs="新細明體"/>
                <w:kern w:val="0"/>
                <w:sz w:val="20"/>
                <w:szCs w:val="20"/>
              </w:rPr>
            </w:pPr>
            <w:r w:rsidRPr="005E43BA">
              <w:rPr>
                <w:rFonts w:ascii="新細明體" w:hAnsi="新細明體" w:hint="eastAsia"/>
                <w:sz w:val="20"/>
                <w:szCs w:val="20"/>
              </w:rPr>
              <w:t>中和金門新村住宅標售及店鋪標租</w:t>
            </w:r>
            <w:r w:rsidRPr="005E43BA">
              <w:rPr>
                <w:rFonts w:ascii="新細明體" w:hAnsi="新細明體" w:cs="新細明體" w:hint="eastAsia"/>
                <w:kern w:val="0"/>
                <w:sz w:val="20"/>
                <w:szCs w:val="20"/>
              </w:rPr>
              <w:t>辦理公開標售4戶住宅及1店鋪標租，充裕縣庫。</w:t>
            </w:r>
          </w:p>
        </w:tc>
        <w:tc>
          <w:tcPr>
            <w:tcW w:w="1200" w:type="dxa"/>
            <w:shd w:val="clear" w:color="auto" w:fill="auto"/>
          </w:tcPr>
          <w:p w:rsidR="00E95C85" w:rsidRPr="005E43BA" w:rsidRDefault="00E95C85" w:rsidP="00E95C85">
            <w:pPr>
              <w:textDirection w:val="lrTbV"/>
              <w:rPr>
                <w:sz w:val="22"/>
                <w:szCs w:val="20"/>
              </w:rPr>
            </w:pPr>
          </w:p>
        </w:tc>
      </w:tr>
      <w:tr w:rsidR="005E43BA" w:rsidRPr="005E43BA" w:rsidTr="00523F72">
        <w:trPr>
          <w:trHeight w:val="1567"/>
        </w:trPr>
        <w:tc>
          <w:tcPr>
            <w:tcW w:w="1572" w:type="dxa"/>
            <w:shd w:val="clear" w:color="auto" w:fill="auto"/>
            <w:vAlign w:val="center"/>
          </w:tcPr>
          <w:p w:rsidR="00E95C85" w:rsidRPr="005E43BA" w:rsidRDefault="008775AE" w:rsidP="00E95C85">
            <w:pPr>
              <w:ind w:left="400" w:hangingChars="200" w:hanging="400"/>
              <w:jc w:val="both"/>
              <w:textDirection w:val="lrTbV"/>
              <w:rPr>
                <w:rFonts w:ascii="新細明體" w:hAnsi="新細明體"/>
                <w:sz w:val="20"/>
                <w:szCs w:val="20"/>
              </w:rPr>
            </w:pPr>
            <w:r w:rsidRPr="005E43BA">
              <w:rPr>
                <w:rFonts w:ascii="新細明體" w:hAnsi="新細明體" w:hint="eastAsia"/>
                <w:sz w:val="20"/>
                <w:szCs w:val="20"/>
              </w:rPr>
              <w:t>五</w:t>
            </w:r>
            <w:r w:rsidR="00E95C85" w:rsidRPr="005E43BA">
              <w:rPr>
                <w:rFonts w:ascii="新細明體" w:hAnsi="新細明體" w:hint="eastAsia"/>
                <w:sz w:val="20"/>
                <w:szCs w:val="20"/>
              </w:rPr>
              <w:t>、中和五眷村改建基金</w:t>
            </w:r>
          </w:p>
        </w:tc>
        <w:tc>
          <w:tcPr>
            <w:tcW w:w="1405" w:type="dxa"/>
            <w:shd w:val="clear" w:color="auto" w:fill="auto"/>
            <w:vAlign w:val="center"/>
          </w:tcPr>
          <w:p w:rsidR="00E95C85" w:rsidRPr="005E43BA" w:rsidRDefault="00E95C85" w:rsidP="00E95C85">
            <w:pPr>
              <w:pStyle w:val="Default"/>
              <w:adjustRightInd/>
              <w:spacing w:before="120"/>
              <w:rPr>
                <w:rFonts w:hAnsi="新細明體"/>
                <w:color w:val="auto"/>
                <w:sz w:val="20"/>
                <w:szCs w:val="20"/>
              </w:rPr>
            </w:pPr>
            <w:r w:rsidRPr="005E43BA">
              <w:rPr>
                <w:rFonts w:hAnsi="新細明體" w:hint="eastAsia"/>
                <w:color w:val="auto"/>
                <w:sz w:val="20"/>
                <w:szCs w:val="20"/>
              </w:rPr>
              <w:t>中央：0</w:t>
            </w:r>
          </w:p>
          <w:p w:rsidR="00E95C85" w:rsidRPr="005E43BA" w:rsidRDefault="00E95C85" w:rsidP="00E95C85">
            <w:pPr>
              <w:textDirection w:val="lrTbV"/>
              <w:rPr>
                <w:rFonts w:ascii="新細明體" w:hAnsi="新細明體"/>
                <w:sz w:val="20"/>
                <w:szCs w:val="20"/>
              </w:rPr>
            </w:pPr>
            <w:r w:rsidRPr="005E43BA">
              <w:rPr>
                <w:rFonts w:ascii="新細明體" w:hAnsi="新細明體" w:hint="eastAsia"/>
                <w:sz w:val="20"/>
                <w:szCs w:val="20"/>
              </w:rPr>
              <w:t xml:space="preserve">  縣：6,</w:t>
            </w:r>
            <w:r w:rsidRPr="005E43BA">
              <w:rPr>
                <w:rFonts w:ascii="新細明體" w:hAnsi="新細明體"/>
                <w:sz w:val="20"/>
                <w:szCs w:val="20"/>
              </w:rPr>
              <w:t>37</w:t>
            </w:r>
            <w:r w:rsidRPr="005E43BA">
              <w:rPr>
                <w:rFonts w:ascii="新細明體" w:hAnsi="新細明體" w:hint="eastAsia"/>
                <w:sz w:val="20"/>
                <w:szCs w:val="20"/>
              </w:rPr>
              <w:t>0</w:t>
            </w:r>
          </w:p>
          <w:p w:rsidR="00E95C85" w:rsidRPr="005E43BA" w:rsidRDefault="00E95C85" w:rsidP="00E95C85">
            <w:pPr>
              <w:pStyle w:val="Default"/>
              <w:adjustRightInd/>
              <w:spacing w:before="120"/>
              <w:rPr>
                <w:rFonts w:hAnsi="新細明體"/>
                <w:color w:val="auto"/>
                <w:sz w:val="20"/>
                <w:szCs w:val="20"/>
              </w:rPr>
            </w:pPr>
            <w:r w:rsidRPr="005E43BA">
              <w:rPr>
                <w:rFonts w:hAnsi="新細明體" w:hint="eastAsia"/>
                <w:color w:val="auto"/>
                <w:sz w:val="20"/>
                <w:szCs w:val="20"/>
              </w:rPr>
              <w:t>合計：6,</w:t>
            </w:r>
            <w:r w:rsidRPr="005E43BA">
              <w:rPr>
                <w:rFonts w:hAnsi="新細明體"/>
                <w:color w:val="auto"/>
                <w:sz w:val="20"/>
                <w:szCs w:val="20"/>
              </w:rPr>
              <w:t>37</w:t>
            </w:r>
            <w:r w:rsidRPr="005E43BA">
              <w:rPr>
                <w:rFonts w:hAnsi="新細明體" w:hint="eastAsia"/>
                <w:color w:val="auto"/>
                <w:sz w:val="20"/>
                <w:szCs w:val="20"/>
              </w:rPr>
              <w:t>0</w:t>
            </w:r>
          </w:p>
        </w:tc>
        <w:tc>
          <w:tcPr>
            <w:tcW w:w="2155" w:type="dxa"/>
            <w:shd w:val="clear" w:color="auto" w:fill="auto"/>
            <w:vAlign w:val="center"/>
          </w:tcPr>
          <w:p w:rsidR="00E95C85" w:rsidRPr="005E43BA" w:rsidRDefault="00E95C85" w:rsidP="00E95C85">
            <w:pPr>
              <w:textDirection w:val="lrTbV"/>
              <w:rPr>
                <w:rFonts w:ascii="新細明體" w:hAnsi="新細明體"/>
                <w:sz w:val="20"/>
                <w:szCs w:val="20"/>
              </w:rPr>
            </w:pPr>
            <w:r w:rsidRPr="005E43BA">
              <w:rPr>
                <w:rFonts w:ascii="新細明體" w:hAnsi="新細明體" w:hint="eastAsia"/>
                <w:sz w:val="20"/>
                <w:szCs w:val="20"/>
              </w:rPr>
              <w:t>保全縣有資產、促進永續利用及</w:t>
            </w:r>
            <w:r w:rsidRPr="005E43BA">
              <w:rPr>
                <w:rFonts w:ascii="新細明體" w:hAnsi="新細明體" w:cs="新細明體" w:hint="eastAsia"/>
                <w:kern w:val="0"/>
                <w:sz w:val="20"/>
                <w:szCs w:val="20"/>
              </w:rPr>
              <w:t>發揮縣產最大效益</w:t>
            </w:r>
          </w:p>
        </w:tc>
        <w:tc>
          <w:tcPr>
            <w:tcW w:w="3228" w:type="dxa"/>
            <w:shd w:val="clear" w:color="auto" w:fill="auto"/>
            <w:vAlign w:val="center"/>
          </w:tcPr>
          <w:p w:rsidR="00E95C85" w:rsidRPr="005E43BA" w:rsidRDefault="00E95C85" w:rsidP="00E95C85">
            <w:pPr>
              <w:pStyle w:val="a3"/>
              <w:numPr>
                <w:ilvl w:val="0"/>
                <w:numId w:val="228"/>
              </w:numPr>
              <w:ind w:leftChars="0"/>
              <w:textDirection w:val="lrTbV"/>
              <w:rPr>
                <w:rFonts w:ascii="新細明體" w:hAnsi="新細明體" w:cs="新細明體"/>
                <w:kern w:val="0"/>
                <w:sz w:val="20"/>
                <w:szCs w:val="20"/>
              </w:rPr>
            </w:pPr>
            <w:r w:rsidRPr="005E43BA">
              <w:rPr>
                <w:rFonts w:ascii="新細明體" w:hAnsi="新細明體" w:hint="eastAsia"/>
                <w:sz w:val="20"/>
                <w:szCs w:val="20"/>
              </w:rPr>
              <w:t>辦理太湖山莊</w:t>
            </w:r>
            <w:r w:rsidRPr="005E43BA">
              <w:rPr>
                <w:rFonts w:ascii="新細明體" w:hAnsi="新細明體" w:cs="新細明體" w:hint="eastAsia"/>
                <w:kern w:val="0"/>
                <w:sz w:val="20"/>
                <w:szCs w:val="20"/>
              </w:rPr>
              <w:t>先期規畫及</w:t>
            </w:r>
            <w:r w:rsidRPr="005E43BA">
              <w:rPr>
                <w:rFonts w:asciiTheme="majorEastAsia" w:eastAsiaTheme="majorEastAsia" w:hAnsiTheme="majorEastAsia" w:hint="eastAsia"/>
                <w:sz w:val="20"/>
                <w:szCs w:val="20"/>
              </w:rPr>
              <w:t>其餘眷村開發</w:t>
            </w:r>
            <w:r w:rsidRPr="005E43BA">
              <w:rPr>
                <w:rFonts w:asciiTheme="majorEastAsia" w:eastAsiaTheme="majorEastAsia" w:hAnsiTheme="majorEastAsia" w:hint="eastAsia"/>
                <w:sz w:val="20"/>
                <w:szCs w:val="20"/>
                <w:lang w:eastAsia="zh-HK"/>
              </w:rPr>
              <w:t>順序及時程</w:t>
            </w:r>
            <w:r w:rsidRPr="005E43BA">
              <w:rPr>
                <w:rFonts w:asciiTheme="majorEastAsia" w:eastAsiaTheme="majorEastAsia" w:hAnsiTheme="majorEastAsia" w:hint="eastAsia"/>
                <w:sz w:val="20"/>
                <w:szCs w:val="20"/>
              </w:rPr>
              <w:t>與策略</w:t>
            </w:r>
            <w:r w:rsidRPr="005E43BA">
              <w:rPr>
                <w:rFonts w:ascii="新細明體" w:hAnsi="新細明體" w:cs="新細明體" w:hint="eastAsia"/>
                <w:kern w:val="0"/>
                <w:sz w:val="20"/>
                <w:szCs w:val="20"/>
              </w:rPr>
              <w:t>。</w:t>
            </w:r>
          </w:p>
          <w:p w:rsidR="00E95C85" w:rsidRPr="005E43BA" w:rsidRDefault="00E95C85" w:rsidP="00E95C85">
            <w:pPr>
              <w:pStyle w:val="a3"/>
              <w:numPr>
                <w:ilvl w:val="0"/>
                <w:numId w:val="228"/>
              </w:numPr>
              <w:ind w:leftChars="0"/>
              <w:textDirection w:val="lrTbV"/>
              <w:rPr>
                <w:rFonts w:ascii="新細明體" w:hAnsi="新細明體" w:cs="新細明體"/>
                <w:kern w:val="0"/>
                <w:sz w:val="20"/>
                <w:szCs w:val="20"/>
              </w:rPr>
            </w:pPr>
            <w:r w:rsidRPr="005E43BA">
              <w:rPr>
                <w:rFonts w:asciiTheme="majorEastAsia" w:eastAsiaTheme="majorEastAsia" w:hAnsiTheme="majorEastAsia" w:hint="eastAsia"/>
                <w:sz w:val="20"/>
                <w:szCs w:val="20"/>
              </w:rPr>
              <w:t>辦理</w:t>
            </w:r>
            <w:r w:rsidRPr="005E43BA">
              <w:rPr>
                <w:rFonts w:asciiTheme="majorEastAsia" w:eastAsiaTheme="majorEastAsia" w:hAnsiTheme="majorEastAsia" w:hint="eastAsia"/>
                <w:sz w:val="20"/>
                <w:szCs w:val="20"/>
                <w:lang w:eastAsia="zh-HK"/>
              </w:rPr>
              <w:t>中和四眷村</w:t>
            </w:r>
            <w:r w:rsidRPr="005E43BA">
              <w:rPr>
                <w:rFonts w:asciiTheme="majorEastAsia" w:eastAsiaTheme="majorEastAsia" w:hAnsiTheme="majorEastAsia" w:hint="eastAsia"/>
                <w:sz w:val="20"/>
                <w:szCs w:val="20"/>
              </w:rPr>
              <w:t>警衛安</w:t>
            </w:r>
            <w:r w:rsidRPr="005E43BA">
              <w:rPr>
                <w:rFonts w:asciiTheme="majorEastAsia" w:eastAsiaTheme="majorEastAsia" w:hAnsiTheme="majorEastAsia" w:hint="eastAsia"/>
                <w:sz w:val="20"/>
                <w:szCs w:val="20"/>
                <w:lang w:eastAsia="zh-HK"/>
              </w:rPr>
              <w:t>全、人車</w:t>
            </w:r>
            <w:r w:rsidRPr="005E43BA">
              <w:rPr>
                <w:rFonts w:asciiTheme="majorEastAsia" w:eastAsiaTheme="majorEastAsia" w:hAnsiTheme="majorEastAsia" w:hint="eastAsia"/>
                <w:sz w:val="20"/>
                <w:szCs w:val="20"/>
              </w:rPr>
              <w:t>管制</w:t>
            </w:r>
            <w:r w:rsidRPr="005E43BA">
              <w:rPr>
                <w:rFonts w:asciiTheme="majorEastAsia" w:eastAsiaTheme="majorEastAsia" w:hAnsiTheme="majorEastAsia" w:hint="eastAsia"/>
                <w:sz w:val="20"/>
                <w:szCs w:val="20"/>
                <w:lang w:eastAsia="zh-HK"/>
              </w:rPr>
              <w:t>、</w:t>
            </w:r>
            <w:r w:rsidRPr="005E43BA">
              <w:rPr>
                <w:rFonts w:asciiTheme="majorEastAsia" w:eastAsiaTheme="majorEastAsia" w:hAnsiTheme="majorEastAsia" w:hint="eastAsia"/>
                <w:sz w:val="20"/>
                <w:szCs w:val="20"/>
              </w:rPr>
              <w:t>社區管理服務與環境維管等</w:t>
            </w:r>
            <w:r w:rsidRPr="005E43BA">
              <w:rPr>
                <w:rFonts w:asciiTheme="majorEastAsia" w:eastAsiaTheme="majorEastAsia" w:hAnsiTheme="majorEastAsia" w:hint="eastAsia"/>
                <w:sz w:val="20"/>
                <w:szCs w:val="20"/>
                <w:lang w:eastAsia="zh-HK"/>
              </w:rPr>
              <w:t>綜合管理維護，</w:t>
            </w:r>
            <w:r w:rsidRPr="005E43BA">
              <w:rPr>
                <w:rFonts w:asciiTheme="majorEastAsia" w:eastAsiaTheme="majorEastAsia" w:hAnsiTheme="majorEastAsia" w:hint="eastAsia"/>
                <w:sz w:val="20"/>
                <w:szCs w:val="20"/>
              </w:rPr>
              <w:t>維護縣產完整及保全工作</w:t>
            </w:r>
            <w:r w:rsidRPr="005E43BA">
              <w:rPr>
                <w:rFonts w:asciiTheme="majorEastAsia" w:eastAsiaTheme="majorEastAsia" w:hAnsiTheme="majorEastAsia" w:cs="新細明體" w:hint="eastAsia"/>
                <w:kern w:val="0"/>
                <w:sz w:val="20"/>
                <w:szCs w:val="20"/>
              </w:rPr>
              <w:t>。</w:t>
            </w:r>
          </w:p>
        </w:tc>
        <w:tc>
          <w:tcPr>
            <w:tcW w:w="1200" w:type="dxa"/>
            <w:shd w:val="clear" w:color="auto" w:fill="auto"/>
          </w:tcPr>
          <w:p w:rsidR="00E95C85" w:rsidRPr="005E43BA" w:rsidRDefault="00E95C85" w:rsidP="00E95C85">
            <w:pPr>
              <w:textDirection w:val="lrTbV"/>
              <w:rPr>
                <w:sz w:val="22"/>
                <w:szCs w:val="20"/>
              </w:rPr>
            </w:pPr>
          </w:p>
          <w:p w:rsidR="00E95C85" w:rsidRPr="005E43BA" w:rsidRDefault="00E95C85" w:rsidP="00E95C85">
            <w:pPr>
              <w:rPr>
                <w:sz w:val="22"/>
                <w:szCs w:val="20"/>
              </w:rPr>
            </w:pPr>
          </w:p>
          <w:p w:rsidR="00E95C85" w:rsidRPr="005E43BA" w:rsidRDefault="00E95C85" w:rsidP="00E95C85">
            <w:pPr>
              <w:rPr>
                <w:sz w:val="22"/>
                <w:szCs w:val="20"/>
              </w:rPr>
            </w:pPr>
          </w:p>
        </w:tc>
      </w:tr>
      <w:tr w:rsidR="005E43BA" w:rsidRPr="005E43BA" w:rsidTr="00523F72">
        <w:trPr>
          <w:trHeight w:val="1515"/>
        </w:trPr>
        <w:tc>
          <w:tcPr>
            <w:tcW w:w="1572" w:type="dxa"/>
            <w:shd w:val="clear" w:color="auto" w:fill="auto"/>
            <w:vAlign w:val="center"/>
          </w:tcPr>
          <w:p w:rsidR="00FC4EDA" w:rsidRPr="005E43BA" w:rsidRDefault="008775AE" w:rsidP="00523F72">
            <w:pPr>
              <w:jc w:val="both"/>
              <w:textDirection w:val="lrTbV"/>
              <w:rPr>
                <w:sz w:val="20"/>
                <w:szCs w:val="20"/>
              </w:rPr>
            </w:pPr>
            <w:r w:rsidRPr="005E43BA">
              <w:rPr>
                <w:rFonts w:cs="新細明體" w:hint="eastAsia"/>
                <w:sz w:val="20"/>
                <w:szCs w:val="20"/>
              </w:rPr>
              <w:t>六</w:t>
            </w:r>
            <w:r w:rsidR="00FC4EDA" w:rsidRPr="005E43BA">
              <w:rPr>
                <w:rFonts w:cs="新細明體" w:hint="eastAsia"/>
                <w:sz w:val="20"/>
                <w:szCs w:val="20"/>
              </w:rPr>
              <w:t>、庫款支付</w:t>
            </w:r>
          </w:p>
        </w:tc>
        <w:tc>
          <w:tcPr>
            <w:tcW w:w="1405" w:type="dxa"/>
            <w:shd w:val="clear" w:color="auto" w:fill="auto"/>
            <w:vAlign w:val="center"/>
          </w:tcPr>
          <w:p w:rsidR="00FC4EDA" w:rsidRPr="005E43BA" w:rsidRDefault="00FC4EDA" w:rsidP="00523F72">
            <w:pPr>
              <w:pStyle w:val="Default"/>
              <w:autoSpaceDE/>
              <w:autoSpaceDN/>
              <w:adjustRightInd/>
              <w:spacing w:before="120"/>
              <w:rPr>
                <w:rFonts w:ascii="Times New Roman"/>
                <w:color w:val="auto"/>
                <w:sz w:val="20"/>
                <w:szCs w:val="20"/>
              </w:rPr>
            </w:pPr>
            <w:r w:rsidRPr="005E43BA">
              <w:rPr>
                <w:rFonts w:ascii="Times New Roman" w:hint="eastAsia"/>
                <w:color w:val="auto"/>
                <w:sz w:val="20"/>
                <w:szCs w:val="20"/>
              </w:rPr>
              <w:t>中央：</w:t>
            </w:r>
            <w:r w:rsidRPr="005E43BA">
              <w:rPr>
                <w:rFonts w:ascii="Times New Roman" w:hint="eastAsia"/>
                <w:color w:val="auto"/>
                <w:sz w:val="20"/>
                <w:szCs w:val="20"/>
              </w:rPr>
              <w:t>0</w:t>
            </w:r>
          </w:p>
          <w:p w:rsidR="00FC4EDA" w:rsidRPr="005E43BA" w:rsidRDefault="00FC4EDA" w:rsidP="00523F72">
            <w:pPr>
              <w:textDirection w:val="lrTbV"/>
              <w:rPr>
                <w:sz w:val="20"/>
                <w:szCs w:val="20"/>
              </w:rPr>
            </w:pPr>
            <w:r w:rsidRPr="005E43BA">
              <w:rPr>
                <w:rFonts w:hint="eastAsia"/>
                <w:sz w:val="20"/>
                <w:szCs w:val="20"/>
              </w:rPr>
              <w:t xml:space="preserve">  </w:t>
            </w:r>
            <w:r w:rsidRPr="005E43BA">
              <w:rPr>
                <w:rFonts w:cs="新細明體" w:hint="eastAsia"/>
                <w:sz w:val="20"/>
                <w:szCs w:val="20"/>
              </w:rPr>
              <w:t>縣：</w:t>
            </w:r>
            <w:r w:rsidRPr="005E43BA">
              <w:rPr>
                <w:sz w:val="20"/>
                <w:szCs w:val="20"/>
              </w:rPr>
              <w:t>1,</w:t>
            </w:r>
            <w:r w:rsidR="004D73E3" w:rsidRPr="005E43BA">
              <w:rPr>
                <w:rFonts w:hint="eastAsia"/>
                <w:sz w:val="20"/>
                <w:szCs w:val="20"/>
              </w:rPr>
              <w:t>625</w:t>
            </w:r>
          </w:p>
          <w:p w:rsidR="00FC4EDA" w:rsidRPr="005E43BA" w:rsidRDefault="00FC4EDA" w:rsidP="004D73E3">
            <w:pPr>
              <w:textDirection w:val="lrTbV"/>
              <w:rPr>
                <w:sz w:val="20"/>
                <w:szCs w:val="20"/>
              </w:rPr>
            </w:pPr>
            <w:r w:rsidRPr="005E43BA">
              <w:rPr>
                <w:rFonts w:cs="新細明體" w:hint="eastAsia"/>
                <w:sz w:val="20"/>
                <w:szCs w:val="20"/>
              </w:rPr>
              <w:t>合計：</w:t>
            </w:r>
            <w:r w:rsidRPr="005E43BA">
              <w:rPr>
                <w:rFonts w:hint="eastAsia"/>
                <w:sz w:val="20"/>
                <w:szCs w:val="20"/>
              </w:rPr>
              <w:t>1,</w:t>
            </w:r>
            <w:r w:rsidR="004D73E3" w:rsidRPr="005E43BA">
              <w:rPr>
                <w:rFonts w:hint="eastAsia"/>
                <w:sz w:val="20"/>
                <w:szCs w:val="20"/>
              </w:rPr>
              <w:t>625</w:t>
            </w:r>
          </w:p>
        </w:tc>
        <w:tc>
          <w:tcPr>
            <w:tcW w:w="2155" w:type="dxa"/>
            <w:shd w:val="clear" w:color="auto" w:fill="auto"/>
            <w:vAlign w:val="center"/>
          </w:tcPr>
          <w:p w:rsidR="00FC4EDA" w:rsidRPr="005E43BA" w:rsidRDefault="00FC4EDA" w:rsidP="00523F72">
            <w:pPr>
              <w:textDirection w:val="lrTbV"/>
              <w:rPr>
                <w:sz w:val="20"/>
                <w:szCs w:val="20"/>
              </w:rPr>
            </w:pPr>
            <w:r w:rsidRPr="005E43BA">
              <w:rPr>
                <w:rFonts w:cs="新細明體" w:hint="eastAsia"/>
                <w:sz w:val="20"/>
                <w:szCs w:val="20"/>
              </w:rPr>
              <w:t>辦理庫款支付作業無紙化。</w:t>
            </w:r>
          </w:p>
        </w:tc>
        <w:tc>
          <w:tcPr>
            <w:tcW w:w="3228" w:type="dxa"/>
            <w:shd w:val="clear" w:color="auto" w:fill="auto"/>
            <w:vAlign w:val="center"/>
          </w:tcPr>
          <w:p w:rsidR="00FC4EDA" w:rsidRPr="005E43BA" w:rsidRDefault="00FC4EDA" w:rsidP="0006560F">
            <w:pPr>
              <w:textDirection w:val="lrTbV"/>
              <w:rPr>
                <w:strike/>
                <w:sz w:val="20"/>
                <w:szCs w:val="20"/>
              </w:rPr>
            </w:pPr>
            <w:r w:rsidRPr="005E43BA">
              <w:rPr>
                <w:rFonts w:cs="新細明體" w:hint="eastAsia"/>
                <w:sz w:val="20"/>
                <w:szCs w:val="20"/>
              </w:rPr>
              <w:t>由主計總處編列經費，導入行政院主計總處憑單線上簽核系統，</w:t>
            </w:r>
            <w:r w:rsidRPr="005E43BA">
              <w:rPr>
                <w:rFonts w:hint="eastAsia"/>
                <w:sz w:val="20"/>
                <w:szCs w:val="20"/>
              </w:rPr>
              <w:t>10</w:t>
            </w:r>
            <w:r w:rsidR="00B327A5" w:rsidRPr="005E43BA">
              <w:rPr>
                <w:rFonts w:hint="eastAsia"/>
                <w:sz w:val="20"/>
                <w:szCs w:val="20"/>
              </w:rPr>
              <w:t>7</w:t>
            </w:r>
            <w:r w:rsidRPr="005E43BA">
              <w:rPr>
                <w:rFonts w:cs="新細明體" w:hint="eastAsia"/>
                <w:sz w:val="20"/>
                <w:szCs w:val="20"/>
              </w:rPr>
              <w:t>年</w:t>
            </w:r>
            <w:r w:rsidR="00B327A5" w:rsidRPr="005E43BA">
              <w:rPr>
                <w:rFonts w:cs="新細明體" w:hint="eastAsia"/>
                <w:sz w:val="20"/>
                <w:szCs w:val="20"/>
              </w:rPr>
              <w:t>5</w:t>
            </w:r>
            <w:r w:rsidRPr="005E43BA">
              <w:rPr>
                <w:rFonts w:cs="新細明體" w:hint="eastAsia"/>
                <w:sz w:val="20"/>
                <w:szCs w:val="20"/>
              </w:rPr>
              <w:t>月</w:t>
            </w:r>
            <w:r w:rsidRPr="005E43BA">
              <w:rPr>
                <w:rFonts w:hint="eastAsia"/>
                <w:sz w:val="20"/>
                <w:szCs w:val="20"/>
              </w:rPr>
              <w:t>1</w:t>
            </w:r>
            <w:r w:rsidRPr="005E43BA">
              <w:rPr>
                <w:rFonts w:cs="新細明體" w:hint="eastAsia"/>
                <w:sz w:val="20"/>
                <w:szCs w:val="20"/>
              </w:rPr>
              <w:t>日以</w:t>
            </w:r>
            <w:r w:rsidR="00B327A5" w:rsidRPr="005E43BA">
              <w:rPr>
                <w:rFonts w:cs="新細明體" w:hint="eastAsia"/>
                <w:sz w:val="20"/>
                <w:szCs w:val="20"/>
              </w:rPr>
              <w:t>2</w:t>
            </w:r>
            <w:r w:rsidRPr="005E43BA">
              <w:rPr>
                <w:rFonts w:hint="eastAsia"/>
                <w:sz w:val="20"/>
                <w:szCs w:val="20"/>
              </w:rPr>
              <w:t>00</w:t>
            </w:r>
            <w:r w:rsidRPr="005E43BA">
              <w:rPr>
                <w:rFonts w:cs="新細明體" w:hint="eastAsia"/>
                <w:sz w:val="20"/>
                <w:szCs w:val="20"/>
              </w:rPr>
              <w:t>萬元以</w:t>
            </w:r>
            <w:r w:rsidRPr="005E43BA">
              <w:rPr>
                <w:rFonts w:cs="新細明體" w:hint="eastAsia"/>
                <w:sz w:val="20"/>
                <w:szCs w:val="20"/>
                <w:lang w:eastAsia="zh-HK"/>
              </w:rPr>
              <w:t>下</w:t>
            </w:r>
            <w:bookmarkStart w:id="1" w:name="_GoBack"/>
            <w:bookmarkEnd w:id="1"/>
            <w:r w:rsidRPr="005E43BA">
              <w:rPr>
                <w:rFonts w:cs="新細明體" w:hint="eastAsia"/>
                <w:bCs/>
                <w:sz w:val="20"/>
                <w:szCs w:val="20"/>
              </w:rPr>
              <w:t>無須檢送付款憑單</w:t>
            </w:r>
            <w:r w:rsidRPr="005E43BA">
              <w:rPr>
                <w:rFonts w:cs="新細明體" w:hint="eastAsia"/>
                <w:sz w:val="20"/>
                <w:szCs w:val="20"/>
              </w:rPr>
              <w:t>，並定期檢討成效提高額度。</w:t>
            </w:r>
          </w:p>
        </w:tc>
        <w:tc>
          <w:tcPr>
            <w:tcW w:w="1200" w:type="dxa"/>
            <w:shd w:val="clear" w:color="auto" w:fill="auto"/>
          </w:tcPr>
          <w:p w:rsidR="00FC4EDA" w:rsidRPr="005E43BA" w:rsidRDefault="00FC4EDA" w:rsidP="00523F72">
            <w:pPr>
              <w:rPr>
                <w:strike/>
                <w:sz w:val="20"/>
                <w:szCs w:val="20"/>
              </w:rPr>
            </w:pPr>
          </w:p>
        </w:tc>
      </w:tr>
      <w:tr w:rsidR="005E43BA" w:rsidRPr="005E43BA" w:rsidTr="00523F72">
        <w:trPr>
          <w:trHeight w:val="1515"/>
        </w:trPr>
        <w:tc>
          <w:tcPr>
            <w:tcW w:w="1572" w:type="dxa"/>
            <w:vMerge w:val="restart"/>
            <w:shd w:val="clear" w:color="auto" w:fill="auto"/>
            <w:vAlign w:val="center"/>
          </w:tcPr>
          <w:p w:rsidR="00841FAC" w:rsidRPr="005E43BA" w:rsidRDefault="008775AE" w:rsidP="000D3242">
            <w:pPr>
              <w:rPr>
                <w:rFonts w:cs="新細明體"/>
                <w:sz w:val="20"/>
                <w:szCs w:val="20"/>
              </w:rPr>
            </w:pPr>
            <w:r w:rsidRPr="005E43BA">
              <w:rPr>
                <w:rFonts w:cs="新細明體" w:hint="eastAsia"/>
                <w:sz w:val="20"/>
                <w:szCs w:val="20"/>
              </w:rPr>
              <w:t>七</w:t>
            </w:r>
            <w:r w:rsidR="00841FAC" w:rsidRPr="005E43BA">
              <w:rPr>
                <w:rFonts w:cs="新細明體" w:hint="eastAsia"/>
                <w:sz w:val="20"/>
                <w:szCs w:val="20"/>
              </w:rPr>
              <w:t>、菸酒管理</w:t>
            </w:r>
          </w:p>
          <w:p w:rsidR="00841FAC" w:rsidRPr="005E43BA" w:rsidRDefault="00841FAC" w:rsidP="000D3242">
            <w:pPr>
              <w:rPr>
                <w:rFonts w:cs="新細明體"/>
                <w:sz w:val="20"/>
                <w:szCs w:val="20"/>
              </w:rPr>
            </w:pPr>
          </w:p>
        </w:tc>
        <w:tc>
          <w:tcPr>
            <w:tcW w:w="1405" w:type="dxa"/>
            <w:vMerge w:val="restart"/>
            <w:shd w:val="clear" w:color="auto" w:fill="auto"/>
            <w:vAlign w:val="center"/>
          </w:tcPr>
          <w:p w:rsidR="00841FAC" w:rsidRPr="005E43BA" w:rsidRDefault="00841FAC" w:rsidP="000D3242">
            <w:pPr>
              <w:ind w:leftChars="-50" w:left="-120" w:firstLineChars="50" w:firstLine="100"/>
              <w:rPr>
                <w:rFonts w:ascii="新細明體" w:hAnsi="新細明體"/>
                <w:sz w:val="20"/>
                <w:szCs w:val="20"/>
              </w:rPr>
            </w:pPr>
            <w:r w:rsidRPr="005E43BA">
              <w:rPr>
                <w:rFonts w:ascii="新細明體" w:hAnsi="新細明體" w:cs="新細明體" w:hint="eastAsia"/>
                <w:sz w:val="20"/>
                <w:szCs w:val="20"/>
              </w:rPr>
              <w:t>中央：</w:t>
            </w:r>
            <w:r w:rsidRPr="005E43BA">
              <w:rPr>
                <w:rFonts w:ascii="新細明體" w:hAnsi="新細明體" w:hint="eastAsia"/>
                <w:sz w:val="20"/>
                <w:szCs w:val="20"/>
              </w:rPr>
              <w:t>1,968</w:t>
            </w:r>
          </w:p>
          <w:p w:rsidR="00841FAC" w:rsidRPr="005E43BA" w:rsidRDefault="00841FAC" w:rsidP="000D3242">
            <w:pPr>
              <w:ind w:leftChars="-50" w:left="-120"/>
              <w:rPr>
                <w:rFonts w:ascii="新細明體" w:hAnsi="新細明體"/>
                <w:sz w:val="20"/>
                <w:szCs w:val="20"/>
              </w:rPr>
            </w:pPr>
            <w:r w:rsidRPr="005E43BA">
              <w:rPr>
                <w:rFonts w:ascii="新細明體" w:hAnsi="新細明體" w:hint="eastAsia"/>
                <w:sz w:val="20"/>
                <w:szCs w:val="20"/>
              </w:rPr>
              <w:t xml:space="preserve">   </w:t>
            </w:r>
            <w:r w:rsidRPr="005E43BA">
              <w:rPr>
                <w:rFonts w:ascii="新細明體" w:hAnsi="新細明體" w:cs="新細明體" w:hint="eastAsia"/>
                <w:sz w:val="20"/>
                <w:szCs w:val="20"/>
              </w:rPr>
              <w:t>縣：</w:t>
            </w:r>
            <w:r w:rsidRPr="005E43BA">
              <w:rPr>
                <w:rFonts w:ascii="新細明體" w:hAnsi="新細明體" w:hint="eastAsia"/>
                <w:sz w:val="20"/>
                <w:szCs w:val="20"/>
              </w:rPr>
              <w:t>1,794</w:t>
            </w:r>
          </w:p>
          <w:p w:rsidR="00841FAC" w:rsidRPr="005E43BA" w:rsidRDefault="00841FAC" w:rsidP="000D3242">
            <w:pPr>
              <w:pStyle w:val="Default"/>
              <w:autoSpaceDE/>
              <w:autoSpaceDN/>
              <w:adjustRightInd/>
              <w:spacing w:before="120"/>
              <w:rPr>
                <w:rFonts w:hAnsi="新細明體"/>
                <w:color w:val="auto"/>
                <w:sz w:val="20"/>
                <w:szCs w:val="20"/>
              </w:rPr>
            </w:pPr>
            <w:r w:rsidRPr="005E43BA">
              <w:rPr>
                <w:rFonts w:ascii="Times New Roman" w:hAnsi="新細明體" w:cs="Times New Roman" w:hint="eastAsia"/>
                <w:color w:val="auto"/>
                <w:kern w:val="2"/>
                <w:sz w:val="20"/>
                <w:szCs w:val="20"/>
              </w:rPr>
              <w:t>合計：</w:t>
            </w:r>
            <w:r w:rsidRPr="005E43BA">
              <w:rPr>
                <w:rFonts w:ascii="Times New Roman" w:hAnsi="新細明體" w:cs="Times New Roman" w:hint="eastAsia"/>
                <w:color w:val="auto"/>
                <w:kern w:val="2"/>
                <w:sz w:val="20"/>
                <w:szCs w:val="20"/>
              </w:rPr>
              <w:t>3,762</w:t>
            </w:r>
          </w:p>
        </w:tc>
        <w:tc>
          <w:tcPr>
            <w:tcW w:w="2155" w:type="dxa"/>
            <w:shd w:val="clear" w:color="auto" w:fill="auto"/>
            <w:vAlign w:val="center"/>
          </w:tcPr>
          <w:p w:rsidR="00580533" w:rsidRPr="005E43BA" w:rsidRDefault="00580533" w:rsidP="00580533">
            <w:pPr>
              <w:pStyle w:val="Default"/>
              <w:autoSpaceDE/>
              <w:autoSpaceDN/>
              <w:adjustRightInd/>
              <w:jc w:val="both"/>
              <w:rPr>
                <w:rFonts w:hAnsi="新細明體"/>
                <w:color w:val="auto"/>
                <w:sz w:val="20"/>
                <w:szCs w:val="20"/>
              </w:rPr>
            </w:pPr>
            <w:r w:rsidRPr="005E43BA">
              <w:rPr>
                <w:rFonts w:hAnsi="新細明體" w:hint="eastAsia"/>
                <w:color w:val="auto"/>
                <w:sz w:val="20"/>
                <w:szCs w:val="20"/>
              </w:rPr>
              <w:t>1.</w:t>
            </w:r>
            <w:r w:rsidRPr="005E43BA">
              <w:rPr>
                <w:rFonts w:hAnsi="新細明體"/>
                <w:color w:val="auto"/>
                <w:sz w:val="20"/>
                <w:szCs w:val="20"/>
              </w:rPr>
              <w:t xml:space="preserve"> </w:t>
            </w:r>
            <w:r w:rsidR="00841FAC" w:rsidRPr="005E43BA">
              <w:rPr>
                <w:rFonts w:hAnsi="新細明體" w:hint="eastAsia"/>
                <w:color w:val="auto"/>
                <w:sz w:val="20"/>
                <w:szCs w:val="20"/>
              </w:rPr>
              <w:t>執行私劣菸酒稽查</w:t>
            </w:r>
          </w:p>
          <w:p w:rsidR="00841FAC" w:rsidRPr="005E43BA" w:rsidRDefault="00841FAC" w:rsidP="00580533">
            <w:pPr>
              <w:pStyle w:val="Default"/>
              <w:autoSpaceDE/>
              <w:autoSpaceDN/>
              <w:adjustRightInd/>
              <w:ind w:firstLineChars="150" w:firstLine="300"/>
              <w:jc w:val="both"/>
              <w:rPr>
                <w:rFonts w:hAnsi="新細明體"/>
                <w:color w:val="auto"/>
                <w:sz w:val="20"/>
                <w:szCs w:val="20"/>
              </w:rPr>
            </w:pPr>
            <w:r w:rsidRPr="005E43BA">
              <w:rPr>
                <w:rFonts w:hAnsi="新細明體" w:hint="eastAsia"/>
                <w:color w:val="auto"/>
                <w:sz w:val="20"/>
                <w:szCs w:val="20"/>
              </w:rPr>
              <w:t>及取締工作</w:t>
            </w:r>
          </w:p>
        </w:tc>
        <w:tc>
          <w:tcPr>
            <w:tcW w:w="3228" w:type="dxa"/>
            <w:shd w:val="clear" w:color="auto" w:fill="auto"/>
            <w:vAlign w:val="center"/>
          </w:tcPr>
          <w:p w:rsidR="00841FAC" w:rsidRPr="005E43BA" w:rsidRDefault="00841FAC" w:rsidP="005D744A">
            <w:pPr>
              <w:pStyle w:val="Default"/>
              <w:numPr>
                <w:ilvl w:val="0"/>
                <w:numId w:val="229"/>
              </w:numPr>
              <w:autoSpaceDE/>
              <w:autoSpaceDN/>
              <w:adjustRightInd/>
              <w:jc w:val="both"/>
              <w:rPr>
                <w:rFonts w:ascii="Times New Roman"/>
                <w:color w:val="auto"/>
                <w:sz w:val="20"/>
                <w:szCs w:val="20"/>
              </w:rPr>
            </w:pPr>
            <w:r w:rsidRPr="005E43BA">
              <w:rPr>
                <w:rFonts w:ascii="Times New Roman" w:hint="eastAsia"/>
                <w:color w:val="auto"/>
                <w:sz w:val="20"/>
                <w:szCs w:val="20"/>
              </w:rPr>
              <w:t>每年至少召開一次本府私劣菸酒稽查及取締會報，並配合中央計畫訂定年度菸酒稽查計畫，查察轄內菸酒業者，健全菸酒市場秩序。</w:t>
            </w:r>
          </w:p>
          <w:p w:rsidR="00841FAC" w:rsidRPr="005E43BA" w:rsidRDefault="00841FAC" w:rsidP="005D744A">
            <w:pPr>
              <w:pStyle w:val="Default"/>
              <w:numPr>
                <w:ilvl w:val="0"/>
                <w:numId w:val="229"/>
              </w:numPr>
              <w:autoSpaceDE/>
              <w:autoSpaceDN/>
              <w:adjustRightInd/>
              <w:jc w:val="both"/>
              <w:rPr>
                <w:rFonts w:ascii="Times New Roman"/>
                <w:color w:val="auto"/>
                <w:sz w:val="20"/>
                <w:szCs w:val="20"/>
              </w:rPr>
            </w:pPr>
            <w:r w:rsidRPr="005E43BA">
              <w:rPr>
                <w:rFonts w:ascii="Times New Roman" w:hint="eastAsia"/>
                <w:color w:val="auto"/>
                <w:sz w:val="20"/>
                <w:szCs w:val="20"/>
              </w:rPr>
              <w:t>定期或不定期執行菸酒抽檢業</w:t>
            </w:r>
            <w:r w:rsidRPr="005E43BA">
              <w:rPr>
                <w:rFonts w:ascii="Times New Roman" w:hint="eastAsia"/>
                <w:color w:val="auto"/>
                <w:sz w:val="20"/>
                <w:szCs w:val="20"/>
              </w:rPr>
              <w:lastRenderedPageBreak/>
              <w:t>務，彙報中央菸酒主管機關備查。</w:t>
            </w:r>
          </w:p>
          <w:p w:rsidR="00841FAC" w:rsidRPr="005E43BA" w:rsidRDefault="00841FAC" w:rsidP="005D744A">
            <w:pPr>
              <w:pStyle w:val="Default"/>
              <w:numPr>
                <w:ilvl w:val="0"/>
                <w:numId w:val="229"/>
              </w:numPr>
              <w:autoSpaceDE/>
              <w:autoSpaceDN/>
              <w:adjustRightInd/>
              <w:jc w:val="both"/>
              <w:rPr>
                <w:rFonts w:hAnsi="新細明體"/>
                <w:color w:val="auto"/>
                <w:sz w:val="20"/>
                <w:szCs w:val="20"/>
              </w:rPr>
            </w:pPr>
            <w:r w:rsidRPr="005E43BA">
              <w:rPr>
                <w:rFonts w:ascii="Times New Roman" w:hint="eastAsia"/>
                <w:color w:val="auto"/>
                <w:sz w:val="20"/>
                <w:szCs w:val="20"/>
              </w:rPr>
              <w:t>稽查酒製造業者廠區以符合菸酒管理法規定，並抽驗酒</w:t>
            </w:r>
            <w:r w:rsidRPr="005E43BA">
              <w:rPr>
                <w:rFonts w:hAnsi="新細明體" w:hint="eastAsia"/>
                <w:color w:val="auto"/>
                <w:sz w:val="20"/>
                <w:szCs w:val="20"/>
              </w:rPr>
              <w:t>品（含新上市酒品）送驗。</w:t>
            </w:r>
          </w:p>
          <w:p w:rsidR="00841FAC" w:rsidRPr="005E43BA" w:rsidRDefault="00841FAC" w:rsidP="005D744A">
            <w:pPr>
              <w:pStyle w:val="Default"/>
              <w:numPr>
                <w:ilvl w:val="0"/>
                <w:numId w:val="229"/>
              </w:numPr>
              <w:autoSpaceDE/>
              <w:autoSpaceDN/>
              <w:adjustRightInd/>
              <w:jc w:val="both"/>
              <w:rPr>
                <w:rFonts w:hAnsi="新細明體"/>
                <w:color w:val="auto"/>
                <w:sz w:val="20"/>
                <w:szCs w:val="20"/>
              </w:rPr>
            </w:pPr>
            <w:r w:rsidRPr="005E43BA">
              <w:rPr>
                <w:rFonts w:hAnsi="新細明體" w:hint="eastAsia"/>
                <w:color w:val="auto"/>
                <w:sz w:val="20"/>
                <w:szCs w:val="20"/>
              </w:rPr>
              <w:t>受理檢舉，審慎處理違規菸酒案件。</w:t>
            </w:r>
          </w:p>
          <w:p w:rsidR="00841FAC" w:rsidRPr="005E43BA" w:rsidRDefault="00841FAC" w:rsidP="005D744A">
            <w:pPr>
              <w:pStyle w:val="Default"/>
              <w:numPr>
                <w:ilvl w:val="0"/>
                <w:numId w:val="229"/>
              </w:numPr>
              <w:autoSpaceDE/>
              <w:autoSpaceDN/>
              <w:adjustRightInd/>
              <w:jc w:val="both"/>
              <w:rPr>
                <w:rFonts w:ascii="Times New Roman"/>
                <w:color w:val="auto"/>
                <w:sz w:val="20"/>
                <w:szCs w:val="20"/>
              </w:rPr>
            </w:pPr>
            <w:r w:rsidRPr="005E43BA">
              <w:rPr>
                <w:rFonts w:hAnsi="新細明體" w:hint="eastAsia"/>
                <w:color w:val="auto"/>
                <w:sz w:val="20"/>
                <w:szCs w:val="20"/>
              </w:rPr>
              <w:t>加強市面查察，取締私劣菸酒，維護合法菸酒業者及大眾消費者權益。</w:t>
            </w:r>
          </w:p>
        </w:tc>
        <w:tc>
          <w:tcPr>
            <w:tcW w:w="1200" w:type="dxa"/>
            <w:shd w:val="clear" w:color="auto" w:fill="auto"/>
          </w:tcPr>
          <w:p w:rsidR="00841FAC" w:rsidRPr="005E43BA" w:rsidRDefault="00841FAC" w:rsidP="000D3242">
            <w:pPr>
              <w:spacing w:before="120"/>
              <w:ind w:leftChars="-50" w:left="-120"/>
              <w:jc w:val="both"/>
              <w:rPr>
                <w:sz w:val="20"/>
                <w:szCs w:val="20"/>
              </w:rPr>
            </w:pPr>
          </w:p>
        </w:tc>
      </w:tr>
      <w:tr w:rsidR="005E43BA" w:rsidRPr="005E43BA" w:rsidTr="00C94256">
        <w:trPr>
          <w:trHeight w:val="1515"/>
        </w:trPr>
        <w:tc>
          <w:tcPr>
            <w:tcW w:w="1572" w:type="dxa"/>
            <w:vMerge/>
            <w:shd w:val="clear" w:color="auto" w:fill="auto"/>
            <w:vAlign w:val="center"/>
          </w:tcPr>
          <w:p w:rsidR="00841FAC" w:rsidRPr="005E43BA" w:rsidRDefault="00841FAC" w:rsidP="000D3242">
            <w:pPr>
              <w:rPr>
                <w:rFonts w:cs="新細明體"/>
                <w:sz w:val="20"/>
                <w:szCs w:val="20"/>
              </w:rPr>
            </w:pPr>
          </w:p>
        </w:tc>
        <w:tc>
          <w:tcPr>
            <w:tcW w:w="1405" w:type="dxa"/>
            <w:vMerge/>
            <w:shd w:val="clear" w:color="auto" w:fill="auto"/>
            <w:vAlign w:val="center"/>
          </w:tcPr>
          <w:p w:rsidR="00841FAC" w:rsidRPr="005E43BA" w:rsidRDefault="00841FAC" w:rsidP="000D3242">
            <w:pPr>
              <w:pStyle w:val="Default"/>
              <w:autoSpaceDE/>
              <w:autoSpaceDN/>
              <w:adjustRightInd/>
              <w:spacing w:before="120"/>
              <w:rPr>
                <w:rFonts w:hAnsi="新細明體"/>
                <w:color w:val="auto"/>
                <w:sz w:val="20"/>
                <w:szCs w:val="20"/>
              </w:rPr>
            </w:pPr>
          </w:p>
        </w:tc>
        <w:tc>
          <w:tcPr>
            <w:tcW w:w="2155" w:type="dxa"/>
            <w:shd w:val="clear" w:color="auto" w:fill="auto"/>
            <w:vAlign w:val="center"/>
          </w:tcPr>
          <w:p w:rsidR="00580533" w:rsidRPr="005E43BA" w:rsidRDefault="00580533" w:rsidP="00580533">
            <w:pPr>
              <w:pStyle w:val="Default"/>
              <w:autoSpaceDE/>
              <w:autoSpaceDN/>
              <w:adjustRightInd/>
              <w:jc w:val="both"/>
              <w:rPr>
                <w:rFonts w:hAnsi="新細明體"/>
                <w:color w:val="auto"/>
                <w:sz w:val="20"/>
                <w:szCs w:val="20"/>
              </w:rPr>
            </w:pPr>
            <w:r w:rsidRPr="005E43BA">
              <w:rPr>
                <w:rFonts w:hAnsi="新細明體" w:hint="eastAsia"/>
                <w:color w:val="auto"/>
                <w:sz w:val="20"/>
                <w:szCs w:val="20"/>
              </w:rPr>
              <w:t xml:space="preserve">2. </w:t>
            </w:r>
            <w:r w:rsidR="00841FAC" w:rsidRPr="005E43BA">
              <w:rPr>
                <w:rFonts w:hAnsi="新細明體" w:hint="eastAsia"/>
                <w:color w:val="auto"/>
                <w:sz w:val="20"/>
                <w:szCs w:val="20"/>
              </w:rPr>
              <w:t>辦理菸酒管理宣導</w:t>
            </w:r>
          </w:p>
          <w:p w:rsidR="00841FAC" w:rsidRPr="005E43BA" w:rsidRDefault="00841FAC" w:rsidP="00580533">
            <w:pPr>
              <w:pStyle w:val="Default"/>
              <w:autoSpaceDE/>
              <w:autoSpaceDN/>
              <w:adjustRightInd/>
              <w:ind w:firstLineChars="100" w:firstLine="200"/>
              <w:jc w:val="both"/>
              <w:rPr>
                <w:rFonts w:hAnsi="新細明體"/>
                <w:color w:val="auto"/>
                <w:sz w:val="20"/>
                <w:szCs w:val="20"/>
              </w:rPr>
            </w:pPr>
            <w:r w:rsidRPr="005E43BA">
              <w:rPr>
                <w:rFonts w:hAnsi="新細明體" w:hint="eastAsia"/>
                <w:color w:val="auto"/>
                <w:sz w:val="20"/>
                <w:szCs w:val="20"/>
              </w:rPr>
              <w:t>工作</w:t>
            </w:r>
          </w:p>
        </w:tc>
        <w:tc>
          <w:tcPr>
            <w:tcW w:w="3228" w:type="dxa"/>
            <w:shd w:val="clear" w:color="auto" w:fill="auto"/>
            <w:vAlign w:val="center"/>
          </w:tcPr>
          <w:p w:rsidR="00841FAC" w:rsidRPr="005E43BA" w:rsidRDefault="00841FAC" w:rsidP="005D744A">
            <w:pPr>
              <w:pStyle w:val="Default"/>
              <w:numPr>
                <w:ilvl w:val="0"/>
                <w:numId w:val="230"/>
              </w:numPr>
              <w:autoSpaceDE/>
              <w:autoSpaceDN/>
              <w:adjustRightInd/>
              <w:jc w:val="both"/>
              <w:textDirection w:val="lrTbV"/>
              <w:rPr>
                <w:rFonts w:ascii="Times New Roman"/>
                <w:color w:val="auto"/>
                <w:sz w:val="20"/>
                <w:szCs w:val="20"/>
              </w:rPr>
            </w:pPr>
            <w:r w:rsidRPr="005E43BA">
              <w:rPr>
                <w:rFonts w:ascii="Times New Roman" w:hint="eastAsia"/>
                <w:color w:val="auto"/>
                <w:sz w:val="20"/>
                <w:szCs w:val="20"/>
              </w:rPr>
              <w:t>委請地區報紙、廣播電台及有線電視等媒體及中華黃頁等媒體刊登或託播菸酒管理法令及宣導短片，利用多元管道，擴大宣導層面。</w:t>
            </w:r>
          </w:p>
          <w:p w:rsidR="00841FAC" w:rsidRPr="005E43BA" w:rsidRDefault="00841FAC" w:rsidP="005D744A">
            <w:pPr>
              <w:pStyle w:val="Default"/>
              <w:numPr>
                <w:ilvl w:val="0"/>
                <w:numId w:val="230"/>
              </w:numPr>
              <w:autoSpaceDE/>
              <w:autoSpaceDN/>
              <w:adjustRightInd/>
              <w:jc w:val="both"/>
              <w:textDirection w:val="lrTbV"/>
              <w:rPr>
                <w:rFonts w:ascii="Times New Roman"/>
                <w:color w:val="auto"/>
                <w:sz w:val="20"/>
                <w:szCs w:val="20"/>
              </w:rPr>
            </w:pPr>
            <w:r w:rsidRPr="005E43BA">
              <w:rPr>
                <w:rFonts w:ascii="Times New Roman" w:hint="eastAsia"/>
                <w:color w:val="auto"/>
                <w:sz w:val="20"/>
                <w:szCs w:val="20"/>
              </w:rPr>
              <w:t>派員實地至地區業者宣導菸酒法令。</w:t>
            </w:r>
          </w:p>
          <w:p w:rsidR="00841FAC" w:rsidRPr="005E43BA" w:rsidRDefault="00841FAC" w:rsidP="005D744A">
            <w:pPr>
              <w:pStyle w:val="Default"/>
              <w:numPr>
                <w:ilvl w:val="0"/>
                <w:numId w:val="230"/>
              </w:numPr>
              <w:autoSpaceDE/>
              <w:autoSpaceDN/>
              <w:adjustRightInd/>
              <w:jc w:val="both"/>
              <w:textDirection w:val="lrTbV"/>
              <w:rPr>
                <w:rFonts w:ascii="Times New Roman"/>
                <w:color w:val="auto"/>
                <w:sz w:val="20"/>
                <w:szCs w:val="20"/>
              </w:rPr>
            </w:pPr>
            <w:r w:rsidRPr="005E43BA">
              <w:rPr>
                <w:rFonts w:ascii="Times New Roman" w:hint="eastAsia"/>
                <w:color w:val="auto"/>
                <w:sz w:val="20"/>
                <w:szCs w:val="20"/>
              </w:rPr>
              <w:t>針對餐廳飲用酒，宣導餐廳及旅行業者，選用合法酒品，共同為消費者健康把關。</w:t>
            </w:r>
          </w:p>
          <w:p w:rsidR="00841FAC" w:rsidRPr="005E43BA" w:rsidRDefault="00841FAC" w:rsidP="005D744A">
            <w:pPr>
              <w:pStyle w:val="Default"/>
              <w:numPr>
                <w:ilvl w:val="0"/>
                <w:numId w:val="230"/>
              </w:numPr>
              <w:autoSpaceDE/>
              <w:autoSpaceDN/>
              <w:adjustRightInd/>
              <w:jc w:val="both"/>
              <w:textDirection w:val="lrTbV"/>
              <w:rPr>
                <w:rFonts w:ascii="Times New Roman"/>
                <w:color w:val="auto"/>
                <w:sz w:val="20"/>
                <w:szCs w:val="20"/>
              </w:rPr>
            </w:pPr>
            <w:r w:rsidRPr="005E43BA">
              <w:rPr>
                <w:rFonts w:ascii="Times New Roman" w:hint="eastAsia"/>
                <w:color w:val="auto"/>
                <w:sz w:val="20"/>
                <w:szCs w:val="20"/>
              </w:rPr>
              <w:t>積極辦理多元、直接、案例說明型菸酒管理法令宣導活動。</w:t>
            </w:r>
          </w:p>
          <w:p w:rsidR="00841FAC" w:rsidRPr="005E43BA" w:rsidRDefault="00841FAC" w:rsidP="005D744A">
            <w:pPr>
              <w:pStyle w:val="Default"/>
              <w:numPr>
                <w:ilvl w:val="0"/>
                <w:numId w:val="230"/>
              </w:numPr>
              <w:autoSpaceDE/>
              <w:autoSpaceDN/>
              <w:adjustRightInd/>
              <w:jc w:val="both"/>
              <w:rPr>
                <w:rFonts w:ascii="Times New Roman"/>
                <w:color w:val="auto"/>
                <w:sz w:val="20"/>
                <w:szCs w:val="20"/>
              </w:rPr>
            </w:pPr>
            <w:r w:rsidRPr="005E43BA">
              <w:rPr>
                <w:rFonts w:ascii="Times New Roman" w:hint="eastAsia"/>
                <w:color w:val="auto"/>
                <w:sz w:val="20"/>
                <w:szCs w:val="20"/>
              </w:rPr>
              <w:t>於本處網頁刊登菸酒管理相關法令及最新訊息。</w:t>
            </w:r>
          </w:p>
        </w:tc>
        <w:tc>
          <w:tcPr>
            <w:tcW w:w="1200" w:type="dxa"/>
            <w:shd w:val="clear" w:color="auto" w:fill="auto"/>
            <w:vAlign w:val="center"/>
          </w:tcPr>
          <w:p w:rsidR="00841FAC" w:rsidRPr="005E43BA" w:rsidRDefault="00841FAC" w:rsidP="000D3242">
            <w:pPr>
              <w:spacing w:before="120"/>
              <w:ind w:leftChars="-50" w:left="-120"/>
              <w:jc w:val="both"/>
              <w:rPr>
                <w:sz w:val="20"/>
                <w:szCs w:val="20"/>
              </w:rPr>
            </w:pPr>
            <w:r w:rsidRPr="005E43BA">
              <w:rPr>
                <w:rFonts w:cs="新細明體" w:hint="eastAsia"/>
                <w:sz w:val="20"/>
                <w:szCs w:val="20"/>
              </w:rPr>
              <w:t>中央計畫型補助：「</w:t>
            </w:r>
            <w:r w:rsidRPr="005E43BA">
              <w:rPr>
                <w:rFonts w:hint="eastAsia"/>
                <w:sz w:val="20"/>
                <w:szCs w:val="20"/>
              </w:rPr>
              <w:t>10</w:t>
            </w:r>
            <w:r w:rsidRPr="005E43BA">
              <w:rPr>
                <w:sz w:val="20"/>
                <w:szCs w:val="20"/>
              </w:rPr>
              <w:t>8</w:t>
            </w:r>
            <w:r w:rsidRPr="005E43BA">
              <w:rPr>
                <w:rFonts w:cs="新細明體" w:hint="eastAsia"/>
                <w:sz w:val="20"/>
                <w:szCs w:val="20"/>
              </w:rPr>
              <w:t>年度菸品健康福利捐供私劣菸品查緝經費支用計畫</w:t>
            </w:r>
          </w:p>
        </w:tc>
      </w:tr>
    </w:tbl>
    <w:p w:rsidR="00FC4EDA" w:rsidRDefault="00841FAC" w:rsidP="005E43BA">
      <w:pPr>
        <w:tabs>
          <w:tab w:val="left" w:pos="720"/>
          <w:tab w:val="left" w:pos="2160"/>
        </w:tabs>
        <w:spacing w:afterLines="50" w:after="180"/>
        <w:textDirection w:val="lrTbV"/>
        <w:textAlignment w:val="baseline"/>
        <w:rPr>
          <w:b/>
          <w:sz w:val="28"/>
          <w:szCs w:val="28"/>
        </w:rPr>
      </w:pPr>
      <w:r>
        <w:rPr>
          <w:b/>
          <w:sz w:val="28"/>
          <w:szCs w:val="28"/>
        </w:rPr>
        <w:tab/>
      </w:r>
      <w:r>
        <w:rPr>
          <w:b/>
          <w:sz w:val="28"/>
          <w:szCs w:val="28"/>
        </w:rPr>
        <w:tab/>
      </w:r>
    </w:p>
    <w:sectPr w:rsidR="00FC4EDA" w:rsidSect="00523F72">
      <w:footerReference w:type="default" r:id="rId8"/>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371" w:rsidRDefault="00235371" w:rsidP="003A1C6B">
      <w:r>
        <w:separator/>
      </w:r>
    </w:p>
  </w:endnote>
  <w:endnote w:type="continuationSeparator" w:id="0">
    <w:p w:rsidR="00235371" w:rsidRDefault="00235371" w:rsidP="003A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華康楷書體W5">
    <w:altName w:val="標楷體"/>
    <w:charset w:val="88"/>
    <w:family w:val="script"/>
    <w:pitch w:val="fixed"/>
    <w:sig w:usb0="80000001" w:usb1="28091800" w:usb2="00000016" w:usb3="00000000" w:csb0="00100000" w:csb1="00000000"/>
  </w:font>
  <w:font w:name="CG Times">
    <w:panose1 w:val="02020603050405020304"/>
    <w:charset w:val="00"/>
    <w:family w:val="roman"/>
    <w:pitch w:val="variable"/>
    <w:sig w:usb0="00000007" w:usb1="00000000" w:usb2="00000000" w:usb3="00000000" w:csb0="00000093" w:csb1="00000000"/>
  </w:font>
  <w:font w:name="新細明體-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CF" w:rsidRDefault="00D46FCF" w:rsidP="00523F72">
    <w:pPr>
      <w:pStyle w:val="a6"/>
      <w:jc w:val="center"/>
    </w:pPr>
    <w:r>
      <w:fldChar w:fldCharType="begin"/>
    </w:r>
    <w:r>
      <w:instrText>PAGE   \* MERGEFORMAT</w:instrText>
    </w:r>
    <w:r>
      <w:fldChar w:fldCharType="separate"/>
    </w:r>
    <w:r w:rsidR="0006560F" w:rsidRPr="0006560F">
      <w:rPr>
        <w:noProof/>
        <w:lang w:val="zh-TW"/>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371" w:rsidRDefault="00235371" w:rsidP="003A1C6B">
      <w:r>
        <w:separator/>
      </w:r>
    </w:p>
  </w:footnote>
  <w:footnote w:type="continuationSeparator" w:id="0">
    <w:p w:rsidR="00235371" w:rsidRDefault="00235371" w:rsidP="003A1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21E"/>
    <w:multiLevelType w:val="hybridMultilevel"/>
    <w:tmpl w:val="069007A6"/>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7B216D"/>
    <w:multiLevelType w:val="hybridMultilevel"/>
    <w:tmpl w:val="407AD43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D06AA1"/>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0E5107E"/>
    <w:multiLevelType w:val="hybridMultilevel"/>
    <w:tmpl w:val="681C540A"/>
    <w:lvl w:ilvl="0" w:tplc="3ABCC8DE">
      <w:start w:val="1"/>
      <w:numFmt w:val="decimal"/>
      <w:lvlText w:val="%1."/>
      <w:lvlJc w:val="left"/>
      <w:pPr>
        <w:tabs>
          <w:tab w:val="num" w:pos="284"/>
        </w:tabs>
        <w:ind w:left="284" w:hanging="284"/>
      </w:pPr>
      <w:rPr>
        <w:rFonts w:ascii="標楷體" w:eastAsia="標楷體" w:hAnsi="標楷體"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15D08E0"/>
    <w:multiLevelType w:val="multilevel"/>
    <w:tmpl w:val="8BD83EA8"/>
    <w:lvl w:ilvl="0">
      <w:start w:val="1"/>
      <w:numFmt w:val="decimal"/>
      <w:lvlText w:val="%1."/>
      <w:lvlJc w:val="left"/>
      <w:pPr>
        <w:ind w:left="284" w:hanging="284"/>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284" w:hanging="284"/>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nsid w:val="01623697"/>
    <w:multiLevelType w:val="hybridMultilevel"/>
    <w:tmpl w:val="FA040E46"/>
    <w:lvl w:ilvl="0" w:tplc="092C1A4A">
      <w:start w:val="1"/>
      <w:numFmt w:val="taiwaneseCountingThousand"/>
      <w:suff w:val="space"/>
      <w:lvlText w:val="%1、"/>
      <w:lvlJc w:val="left"/>
      <w:pPr>
        <w:ind w:left="764" w:hanging="284"/>
      </w:pPr>
      <w:rPr>
        <w:rFonts w:hAnsi="新細明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19A141E"/>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23310DB"/>
    <w:multiLevelType w:val="hybridMultilevel"/>
    <w:tmpl w:val="8BAA9BA8"/>
    <w:lvl w:ilvl="0" w:tplc="567076D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2453CFC"/>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3A613EE"/>
    <w:multiLevelType w:val="hybridMultilevel"/>
    <w:tmpl w:val="A4F60F10"/>
    <w:lvl w:ilvl="0" w:tplc="1664791C">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3D2385F"/>
    <w:multiLevelType w:val="hybridMultilevel"/>
    <w:tmpl w:val="BF28033C"/>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3E76827"/>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4056B12"/>
    <w:multiLevelType w:val="hybridMultilevel"/>
    <w:tmpl w:val="9D0662FA"/>
    <w:lvl w:ilvl="0" w:tplc="B680CF62">
      <w:start w:val="1"/>
      <w:numFmt w:val="decimal"/>
      <w:lvlText w:val="%1."/>
      <w:lvlJc w:val="left"/>
      <w:pPr>
        <w:tabs>
          <w:tab w:val="num" w:pos="284"/>
        </w:tabs>
        <w:ind w:left="284" w:hanging="284"/>
      </w:pPr>
      <w:rPr>
        <w:rFonts w:cs="Times New Roman" w:hint="default"/>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053F6A27"/>
    <w:multiLevelType w:val="hybridMultilevel"/>
    <w:tmpl w:val="640CBCDE"/>
    <w:lvl w:ilvl="0" w:tplc="80B4FB2A">
      <w:start w:val="3"/>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5437DE8"/>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5455140"/>
    <w:multiLevelType w:val="hybridMultilevel"/>
    <w:tmpl w:val="83C220F8"/>
    <w:lvl w:ilvl="0" w:tplc="7AB03E12">
      <w:start w:val="1"/>
      <w:numFmt w:val="taiwaneseCountingThousand"/>
      <w:suff w:val="nothing"/>
      <w:lvlText w:val="%1、"/>
      <w:lvlJc w:val="left"/>
      <w:pPr>
        <w:ind w:left="3599"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nsid w:val="054B3902"/>
    <w:multiLevelType w:val="hybridMultilevel"/>
    <w:tmpl w:val="68646274"/>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056F202D"/>
    <w:multiLevelType w:val="hybridMultilevel"/>
    <w:tmpl w:val="52E0F11A"/>
    <w:lvl w:ilvl="0" w:tplc="E4622F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69C35D1"/>
    <w:multiLevelType w:val="hybridMultilevel"/>
    <w:tmpl w:val="68646274"/>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08461902"/>
    <w:multiLevelType w:val="hybridMultilevel"/>
    <w:tmpl w:val="407AD43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9302189"/>
    <w:multiLevelType w:val="hybridMultilevel"/>
    <w:tmpl w:val="9914FD66"/>
    <w:lvl w:ilvl="0" w:tplc="672A4CA4">
      <w:start w:val="1"/>
      <w:numFmt w:val="decimal"/>
      <w:lvlText w:val="%1."/>
      <w:lvlJc w:val="left"/>
      <w:pPr>
        <w:tabs>
          <w:tab w:val="num" w:pos="284"/>
        </w:tabs>
        <w:ind w:left="284" w:hanging="284"/>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96E708A"/>
    <w:multiLevelType w:val="hybridMultilevel"/>
    <w:tmpl w:val="7EDE7F58"/>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ACB41C6"/>
    <w:multiLevelType w:val="hybridMultilevel"/>
    <w:tmpl w:val="F7340B78"/>
    <w:lvl w:ilvl="0" w:tplc="424EFF62">
      <w:start w:val="2"/>
      <w:numFmt w:val="decimal"/>
      <w:lvlText w:val="%1."/>
      <w:lvlJc w:val="left"/>
      <w:pPr>
        <w:tabs>
          <w:tab w:val="num" w:pos="284"/>
        </w:tabs>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B462580"/>
    <w:multiLevelType w:val="hybridMultilevel"/>
    <w:tmpl w:val="025E4CD6"/>
    <w:lvl w:ilvl="0" w:tplc="AD5C40B0">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0C40300B"/>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0C832ED1"/>
    <w:multiLevelType w:val="hybridMultilevel"/>
    <w:tmpl w:val="2112F9C0"/>
    <w:lvl w:ilvl="0" w:tplc="9F54052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0C9F6639"/>
    <w:multiLevelType w:val="hybridMultilevel"/>
    <w:tmpl w:val="AA420FFA"/>
    <w:lvl w:ilvl="0" w:tplc="A8F8C60E">
      <w:start w:val="1"/>
      <w:numFmt w:val="decimal"/>
      <w:lvlText w:val="%1."/>
      <w:lvlJc w:val="left"/>
      <w:pPr>
        <w:tabs>
          <w:tab w:val="num" w:pos="284"/>
        </w:tabs>
        <w:ind w:left="284" w:hanging="284"/>
      </w:pPr>
      <w:rPr>
        <w:sz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0CAB381F"/>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0CB41A0D"/>
    <w:multiLevelType w:val="hybridMultilevel"/>
    <w:tmpl w:val="8F345C5A"/>
    <w:lvl w:ilvl="0" w:tplc="4D88B442">
      <w:start w:val="1"/>
      <w:numFmt w:val="decimal"/>
      <w:lvlText w:val="%1."/>
      <w:lvlJc w:val="left"/>
      <w:pPr>
        <w:tabs>
          <w:tab w:val="num" w:pos="284"/>
        </w:tabs>
        <w:ind w:left="284" w:hanging="284"/>
      </w:pPr>
      <w:rPr>
        <w:rFonts w:cs="Times New Roman"/>
        <w:sz w:val="20"/>
        <w:szCs w:val="2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nsid w:val="0CE85865"/>
    <w:multiLevelType w:val="hybridMultilevel"/>
    <w:tmpl w:val="B4B627FA"/>
    <w:lvl w:ilvl="0" w:tplc="95A68A74">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0D3F5954"/>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0D9E07AD"/>
    <w:multiLevelType w:val="hybridMultilevel"/>
    <w:tmpl w:val="E82EBE58"/>
    <w:lvl w:ilvl="0" w:tplc="C4C68334">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nsid w:val="0E017CDA"/>
    <w:multiLevelType w:val="multilevel"/>
    <w:tmpl w:val="8BD83EA8"/>
    <w:lvl w:ilvl="0">
      <w:start w:val="1"/>
      <w:numFmt w:val="decimal"/>
      <w:lvlText w:val="%1."/>
      <w:lvlJc w:val="left"/>
      <w:pPr>
        <w:ind w:left="284" w:hanging="284"/>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284" w:hanging="284"/>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3">
    <w:nsid w:val="0F65480B"/>
    <w:multiLevelType w:val="hybridMultilevel"/>
    <w:tmpl w:val="BF28033C"/>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0FC24199"/>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105E1059"/>
    <w:multiLevelType w:val="hybridMultilevel"/>
    <w:tmpl w:val="ABC66342"/>
    <w:lvl w:ilvl="0" w:tplc="9C66A37A">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0622839"/>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109678DF"/>
    <w:multiLevelType w:val="hybridMultilevel"/>
    <w:tmpl w:val="91085772"/>
    <w:lvl w:ilvl="0" w:tplc="8778674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0BC384A"/>
    <w:multiLevelType w:val="hybridMultilevel"/>
    <w:tmpl w:val="223CC7BE"/>
    <w:lvl w:ilvl="0" w:tplc="0409000F">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9">
    <w:nsid w:val="117F6D0E"/>
    <w:multiLevelType w:val="hybridMultilevel"/>
    <w:tmpl w:val="65E80CE0"/>
    <w:lvl w:ilvl="0" w:tplc="54221192">
      <w:start w:val="1"/>
      <w:numFmt w:val="decimal"/>
      <w:lvlText w:val="%1."/>
      <w:lvlJc w:val="left"/>
      <w:pPr>
        <w:tabs>
          <w:tab w:val="num" w:pos="284"/>
        </w:tabs>
        <w:ind w:left="284" w:hanging="284"/>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12EA541E"/>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135841FD"/>
    <w:multiLevelType w:val="hybridMultilevel"/>
    <w:tmpl w:val="6C707AA8"/>
    <w:lvl w:ilvl="0" w:tplc="97A4D9FC">
      <w:start w:val="3"/>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13EE5085"/>
    <w:multiLevelType w:val="hybridMultilevel"/>
    <w:tmpl w:val="5824B5B4"/>
    <w:lvl w:ilvl="0" w:tplc="60BEDF80">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3">
    <w:nsid w:val="144D0DE6"/>
    <w:multiLevelType w:val="hybridMultilevel"/>
    <w:tmpl w:val="AA420FFA"/>
    <w:lvl w:ilvl="0" w:tplc="A8F8C60E">
      <w:start w:val="1"/>
      <w:numFmt w:val="decimal"/>
      <w:lvlText w:val="%1."/>
      <w:lvlJc w:val="left"/>
      <w:pPr>
        <w:tabs>
          <w:tab w:val="num" w:pos="284"/>
        </w:tabs>
        <w:ind w:left="284" w:hanging="284"/>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148B570F"/>
    <w:multiLevelType w:val="hybridMultilevel"/>
    <w:tmpl w:val="39582F0E"/>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5">
    <w:nsid w:val="159E7E5F"/>
    <w:multiLevelType w:val="hybridMultilevel"/>
    <w:tmpl w:val="BF28033C"/>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15BD2667"/>
    <w:multiLevelType w:val="hybridMultilevel"/>
    <w:tmpl w:val="24E85E14"/>
    <w:lvl w:ilvl="0" w:tplc="1D521634">
      <w:start w:val="1"/>
      <w:numFmt w:val="decimal"/>
      <w:lvlText w:val="%1."/>
      <w:lvlJc w:val="left"/>
      <w:pPr>
        <w:ind w:left="284" w:hanging="284"/>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16305908"/>
    <w:multiLevelType w:val="hybridMultilevel"/>
    <w:tmpl w:val="9348C686"/>
    <w:lvl w:ilvl="0" w:tplc="C180E8F2">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165919A6"/>
    <w:multiLevelType w:val="hybridMultilevel"/>
    <w:tmpl w:val="7CCC229C"/>
    <w:lvl w:ilvl="0" w:tplc="0409000F">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9">
    <w:nsid w:val="17984C3C"/>
    <w:multiLevelType w:val="hybridMultilevel"/>
    <w:tmpl w:val="6E205776"/>
    <w:lvl w:ilvl="0" w:tplc="9FD094A8">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17A714C3"/>
    <w:multiLevelType w:val="hybridMultilevel"/>
    <w:tmpl w:val="499C746C"/>
    <w:lvl w:ilvl="0" w:tplc="AEB873A0">
      <w:start w:val="1"/>
      <w:numFmt w:val="decimal"/>
      <w:lvlText w:val="%1."/>
      <w:lvlJc w:val="left"/>
      <w:pPr>
        <w:tabs>
          <w:tab w:val="num" w:pos="284"/>
        </w:tabs>
        <w:ind w:left="284" w:hanging="284"/>
      </w:pPr>
      <w:rPr>
        <w:rFonts w:cs="Times New Roman"/>
        <w:sz w:val="20"/>
        <w:szCs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nsid w:val="17D324FB"/>
    <w:multiLevelType w:val="hybridMultilevel"/>
    <w:tmpl w:val="4FF027CA"/>
    <w:lvl w:ilvl="0" w:tplc="AB961ED2">
      <w:start w:val="8"/>
      <w:numFmt w:val="taiwaneseCountingThousand"/>
      <w:lvlText w:val="%1、"/>
      <w:lvlJc w:val="left"/>
      <w:pPr>
        <w:ind w:left="480" w:hanging="480"/>
      </w:pPr>
      <w:rPr>
        <w:rFonts w:cs="Times New Roman" w:hint="default"/>
      </w:rPr>
    </w:lvl>
    <w:lvl w:ilvl="1" w:tplc="0EB480BC">
      <w:start w:val="1"/>
      <w:numFmt w:val="taiwaneseCountingThousand"/>
      <w:lvlText w:val="%2、"/>
      <w:lvlJc w:val="left"/>
      <w:pPr>
        <w:ind w:left="960" w:hanging="480"/>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nsid w:val="17E449E7"/>
    <w:multiLevelType w:val="hybridMultilevel"/>
    <w:tmpl w:val="19D0A2F6"/>
    <w:lvl w:ilvl="0" w:tplc="AFAA81E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184C5554"/>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nsid w:val="186B7C62"/>
    <w:multiLevelType w:val="hybridMultilevel"/>
    <w:tmpl w:val="397CD746"/>
    <w:lvl w:ilvl="0" w:tplc="53C65AC8">
      <w:start w:val="1"/>
      <w:numFmt w:val="decimal"/>
      <w:lvlText w:val="%1."/>
      <w:lvlJc w:val="left"/>
      <w:pPr>
        <w:tabs>
          <w:tab w:val="num" w:pos="284"/>
        </w:tabs>
        <w:ind w:left="284" w:hanging="284"/>
      </w:pPr>
      <w:rPr>
        <w:rFonts w:ascii="新細明體" w:eastAsia="新細明體" w:hAnsi="新細明體"/>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5">
    <w:nsid w:val="18CF7D3A"/>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19370577"/>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1B471AEF"/>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1B6C3A50"/>
    <w:multiLevelType w:val="hybridMultilevel"/>
    <w:tmpl w:val="A160613E"/>
    <w:lvl w:ilvl="0" w:tplc="977612B8">
      <w:start w:val="1"/>
      <w:numFmt w:val="decimal"/>
      <w:lvlText w:val="%1."/>
      <w:lvlJc w:val="left"/>
      <w:pPr>
        <w:tabs>
          <w:tab w:val="num" w:pos="284"/>
        </w:tabs>
        <w:ind w:left="284" w:hanging="284"/>
      </w:pPr>
      <w:rPr>
        <w:rFonts w:cs="Times New Roman" w:hint="eastAsia"/>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
    <w:nsid w:val="1D0759D0"/>
    <w:multiLevelType w:val="hybridMultilevel"/>
    <w:tmpl w:val="6B867294"/>
    <w:lvl w:ilvl="0" w:tplc="14823102">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1D1315F6"/>
    <w:multiLevelType w:val="hybridMultilevel"/>
    <w:tmpl w:val="39582F0E"/>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1">
    <w:nsid w:val="1D7F399E"/>
    <w:multiLevelType w:val="hybridMultilevel"/>
    <w:tmpl w:val="35486C0A"/>
    <w:lvl w:ilvl="0" w:tplc="14DA5D56">
      <w:start w:val="1"/>
      <w:numFmt w:val="decimal"/>
      <w:lvlText w:val="%1."/>
      <w:lvlJc w:val="left"/>
      <w:pPr>
        <w:tabs>
          <w:tab w:val="num" w:pos="284"/>
        </w:tabs>
        <w:ind w:left="284" w:hanging="284"/>
      </w:pPr>
      <w:rPr>
        <w:rFonts w:ascii="Times New Roman" w:eastAsia="標楷體" w:hAnsi="Times New Roman" w:cs="Times New Roman"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1DB97AEF"/>
    <w:multiLevelType w:val="hybridMultilevel"/>
    <w:tmpl w:val="681C540A"/>
    <w:lvl w:ilvl="0" w:tplc="3ABCC8DE">
      <w:start w:val="1"/>
      <w:numFmt w:val="decimal"/>
      <w:lvlText w:val="%1."/>
      <w:lvlJc w:val="left"/>
      <w:pPr>
        <w:tabs>
          <w:tab w:val="num" w:pos="284"/>
        </w:tabs>
        <w:ind w:left="284" w:hanging="284"/>
      </w:pPr>
      <w:rPr>
        <w:rFonts w:ascii="標楷體" w:eastAsia="標楷體" w:hAnsi="標楷體"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1E182A40"/>
    <w:multiLevelType w:val="hybridMultilevel"/>
    <w:tmpl w:val="4ACE170E"/>
    <w:lvl w:ilvl="0" w:tplc="7B1EC80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20A92C46"/>
    <w:multiLevelType w:val="hybridMultilevel"/>
    <w:tmpl w:val="A074F8AE"/>
    <w:lvl w:ilvl="0" w:tplc="3B800C56">
      <w:start w:val="1"/>
      <w:numFmt w:val="taiwaneseCountingThousand"/>
      <w:suff w:val="nothing"/>
      <w:lvlText w:val="%1、"/>
      <w:lvlJc w:val="left"/>
      <w:pPr>
        <w:ind w:left="960" w:hanging="480"/>
      </w:pPr>
      <w:rPr>
        <w:rFonts w:hAnsi="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nsid w:val="21334AD9"/>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2273421C"/>
    <w:multiLevelType w:val="hybridMultilevel"/>
    <w:tmpl w:val="A4F60F10"/>
    <w:lvl w:ilvl="0" w:tplc="1664791C">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22780C6A"/>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22EE366F"/>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235063F7"/>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23941279"/>
    <w:multiLevelType w:val="hybridMultilevel"/>
    <w:tmpl w:val="1E923F06"/>
    <w:lvl w:ilvl="0" w:tplc="9536C4B0">
      <w:start w:val="1"/>
      <w:numFmt w:val="taiwaneseCountingThousand"/>
      <w:suff w:val="nothing"/>
      <w:lvlText w:val="%1、"/>
      <w:lvlJc w:val="left"/>
      <w:pPr>
        <w:ind w:left="482" w:hanging="482"/>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
    <w:nsid w:val="23B34695"/>
    <w:multiLevelType w:val="hybridMultilevel"/>
    <w:tmpl w:val="024A3B86"/>
    <w:lvl w:ilvl="0" w:tplc="FC785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23D14ADF"/>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3">
    <w:nsid w:val="23F93125"/>
    <w:multiLevelType w:val="hybridMultilevel"/>
    <w:tmpl w:val="5824B5B4"/>
    <w:lvl w:ilvl="0" w:tplc="60BEDF80">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4">
    <w:nsid w:val="24B975A1"/>
    <w:multiLevelType w:val="hybridMultilevel"/>
    <w:tmpl w:val="C428CF92"/>
    <w:lvl w:ilvl="0" w:tplc="C57A65A6">
      <w:start w:val="1"/>
      <w:numFmt w:val="taiwaneseCountingThousand"/>
      <w:lvlText w:val="%1、"/>
      <w:lvlJc w:val="left"/>
      <w:pPr>
        <w:tabs>
          <w:tab w:val="num" w:pos="1227"/>
        </w:tabs>
        <w:ind w:left="1227" w:hanging="27"/>
      </w:pPr>
      <w:rPr>
        <w:rFonts w:cs="Times New Roman"/>
        <w:b w:val="0"/>
        <w:lang w:val="en-US"/>
      </w:rPr>
    </w:lvl>
    <w:lvl w:ilvl="1" w:tplc="04090019">
      <w:start w:val="1"/>
      <w:numFmt w:val="ideographTraditional"/>
      <w:lvlText w:val="%2、"/>
      <w:lvlJc w:val="left"/>
      <w:pPr>
        <w:tabs>
          <w:tab w:val="num" w:pos="1620"/>
        </w:tabs>
        <w:ind w:left="1620" w:hanging="480"/>
      </w:pPr>
      <w:rPr>
        <w:rFonts w:cs="Times New Roman"/>
      </w:rPr>
    </w:lvl>
    <w:lvl w:ilvl="2" w:tplc="0409001B">
      <w:start w:val="1"/>
      <w:numFmt w:val="lowerRoman"/>
      <w:lvlText w:val="%3."/>
      <w:lvlJc w:val="right"/>
      <w:pPr>
        <w:tabs>
          <w:tab w:val="num" w:pos="2100"/>
        </w:tabs>
        <w:ind w:left="2100" w:hanging="480"/>
      </w:pPr>
      <w:rPr>
        <w:rFonts w:cs="Times New Roman"/>
      </w:rPr>
    </w:lvl>
    <w:lvl w:ilvl="3" w:tplc="0409000F">
      <w:start w:val="1"/>
      <w:numFmt w:val="decimal"/>
      <w:lvlText w:val="%4."/>
      <w:lvlJc w:val="left"/>
      <w:pPr>
        <w:tabs>
          <w:tab w:val="num" w:pos="2580"/>
        </w:tabs>
        <w:ind w:left="2580" w:hanging="480"/>
      </w:pPr>
      <w:rPr>
        <w:rFonts w:cs="Times New Roman"/>
      </w:rPr>
    </w:lvl>
    <w:lvl w:ilvl="4" w:tplc="04090019">
      <w:start w:val="1"/>
      <w:numFmt w:val="ideographTraditional"/>
      <w:lvlText w:val="%5、"/>
      <w:lvlJc w:val="left"/>
      <w:pPr>
        <w:tabs>
          <w:tab w:val="num" w:pos="3060"/>
        </w:tabs>
        <w:ind w:left="3060" w:hanging="480"/>
      </w:pPr>
      <w:rPr>
        <w:rFonts w:cs="Times New Roman"/>
      </w:rPr>
    </w:lvl>
    <w:lvl w:ilvl="5" w:tplc="0409001B">
      <w:start w:val="1"/>
      <w:numFmt w:val="lowerRoman"/>
      <w:lvlText w:val="%6."/>
      <w:lvlJc w:val="right"/>
      <w:pPr>
        <w:tabs>
          <w:tab w:val="num" w:pos="3540"/>
        </w:tabs>
        <w:ind w:left="3540" w:hanging="480"/>
      </w:pPr>
      <w:rPr>
        <w:rFonts w:cs="Times New Roman"/>
      </w:rPr>
    </w:lvl>
    <w:lvl w:ilvl="6" w:tplc="0409000F">
      <w:start w:val="1"/>
      <w:numFmt w:val="decimal"/>
      <w:lvlText w:val="%7."/>
      <w:lvlJc w:val="left"/>
      <w:pPr>
        <w:tabs>
          <w:tab w:val="num" w:pos="4020"/>
        </w:tabs>
        <w:ind w:left="4020" w:hanging="480"/>
      </w:pPr>
      <w:rPr>
        <w:rFonts w:cs="Times New Roman"/>
      </w:rPr>
    </w:lvl>
    <w:lvl w:ilvl="7" w:tplc="04090019">
      <w:start w:val="1"/>
      <w:numFmt w:val="ideographTraditional"/>
      <w:lvlText w:val="%8、"/>
      <w:lvlJc w:val="left"/>
      <w:pPr>
        <w:tabs>
          <w:tab w:val="num" w:pos="4500"/>
        </w:tabs>
        <w:ind w:left="4500" w:hanging="480"/>
      </w:pPr>
      <w:rPr>
        <w:rFonts w:cs="Times New Roman"/>
      </w:rPr>
    </w:lvl>
    <w:lvl w:ilvl="8" w:tplc="0409001B">
      <w:start w:val="1"/>
      <w:numFmt w:val="lowerRoman"/>
      <w:lvlText w:val="%9."/>
      <w:lvlJc w:val="right"/>
      <w:pPr>
        <w:tabs>
          <w:tab w:val="num" w:pos="4980"/>
        </w:tabs>
        <w:ind w:left="4980" w:hanging="480"/>
      </w:pPr>
      <w:rPr>
        <w:rFonts w:cs="Times New Roman"/>
      </w:rPr>
    </w:lvl>
  </w:abstractNum>
  <w:abstractNum w:abstractNumId="75">
    <w:nsid w:val="24FD2FF7"/>
    <w:multiLevelType w:val="hybridMultilevel"/>
    <w:tmpl w:val="E70C4AFE"/>
    <w:lvl w:ilvl="0" w:tplc="AF98CD3A">
      <w:start w:val="1"/>
      <w:numFmt w:val="decimal"/>
      <w:lvlText w:val="%1."/>
      <w:lvlJc w:val="left"/>
      <w:pPr>
        <w:ind w:left="284" w:hanging="284"/>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6">
    <w:nsid w:val="257230D1"/>
    <w:multiLevelType w:val="hybridMultilevel"/>
    <w:tmpl w:val="66764D7C"/>
    <w:lvl w:ilvl="0" w:tplc="EE20E3BC">
      <w:start w:val="1"/>
      <w:numFmt w:val="decimal"/>
      <w:lvlText w:val="%1."/>
      <w:lvlJc w:val="left"/>
      <w:pPr>
        <w:ind w:left="284" w:hanging="284"/>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26054168"/>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27757832"/>
    <w:multiLevelType w:val="hybridMultilevel"/>
    <w:tmpl w:val="39582F0E"/>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9">
    <w:nsid w:val="29CA73B1"/>
    <w:multiLevelType w:val="hybridMultilevel"/>
    <w:tmpl w:val="9D0662FA"/>
    <w:lvl w:ilvl="0" w:tplc="B680CF62">
      <w:start w:val="1"/>
      <w:numFmt w:val="decimal"/>
      <w:lvlText w:val="%1."/>
      <w:lvlJc w:val="left"/>
      <w:pPr>
        <w:tabs>
          <w:tab w:val="num" w:pos="284"/>
        </w:tabs>
        <w:ind w:left="284" w:hanging="284"/>
      </w:pPr>
      <w:rPr>
        <w:rFonts w:cs="Times New Roman" w:hint="default"/>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0">
    <w:nsid w:val="2A0D663D"/>
    <w:multiLevelType w:val="hybridMultilevel"/>
    <w:tmpl w:val="BA3031C8"/>
    <w:lvl w:ilvl="0" w:tplc="1ADA7796">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2AA66320"/>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2AA71665"/>
    <w:multiLevelType w:val="hybridMultilevel"/>
    <w:tmpl w:val="C58AFCFE"/>
    <w:lvl w:ilvl="0" w:tplc="AAC493F2">
      <w:start w:val="5"/>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2AF70253"/>
    <w:multiLevelType w:val="hybridMultilevel"/>
    <w:tmpl w:val="C1460A96"/>
    <w:lvl w:ilvl="0" w:tplc="DD08F4A8">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2BCD2432"/>
    <w:multiLevelType w:val="hybridMultilevel"/>
    <w:tmpl w:val="5824B5B4"/>
    <w:lvl w:ilvl="0" w:tplc="60BEDF80">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5">
    <w:nsid w:val="2BFE739B"/>
    <w:multiLevelType w:val="hybridMultilevel"/>
    <w:tmpl w:val="681C540A"/>
    <w:lvl w:ilvl="0" w:tplc="3ABCC8DE">
      <w:start w:val="1"/>
      <w:numFmt w:val="decimal"/>
      <w:lvlText w:val="%1."/>
      <w:lvlJc w:val="left"/>
      <w:pPr>
        <w:tabs>
          <w:tab w:val="num" w:pos="284"/>
        </w:tabs>
        <w:ind w:left="284" w:hanging="284"/>
      </w:pPr>
      <w:rPr>
        <w:rFonts w:ascii="標楷體" w:eastAsia="標楷體" w:hAnsi="標楷體"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2CB97005"/>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2F2C7977"/>
    <w:multiLevelType w:val="hybridMultilevel"/>
    <w:tmpl w:val="13643546"/>
    <w:lvl w:ilvl="0" w:tplc="04AA3E50">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3005691A"/>
    <w:multiLevelType w:val="hybridMultilevel"/>
    <w:tmpl w:val="C26AF008"/>
    <w:lvl w:ilvl="0" w:tplc="2384EA44">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304C19C5"/>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30795FA9"/>
    <w:multiLevelType w:val="hybridMultilevel"/>
    <w:tmpl w:val="68646274"/>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1">
    <w:nsid w:val="315B2DCC"/>
    <w:multiLevelType w:val="hybridMultilevel"/>
    <w:tmpl w:val="7036694C"/>
    <w:lvl w:ilvl="0" w:tplc="9C2CAB34">
      <w:start w:val="2"/>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316A7BAC"/>
    <w:multiLevelType w:val="hybridMultilevel"/>
    <w:tmpl w:val="6B867294"/>
    <w:lvl w:ilvl="0" w:tplc="14823102">
      <w:start w:val="1"/>
      <w:numFmt w:val="decimal"/>
      <w:lvlText w:val="%1."/>
      <w:lvlJc w:val="left"/>
      <w:pPr>
        <w:tabs>
          <w:tab w:val="num" w:pos="284"/>
        </w:tabs>
        <w:ind w:left="284" w:hanging="28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3">
    <w:nsid w:val="31931C0A"/>
    <w:multiLevelType w:val="hybridMultilevel"/>
    <w:tmpl w:val="944C9E68"/>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31E15015"/>
    <w:multiLevelType w:val="hybridMultilevel"/>
    <w:tmpl w:val="5824B5B4"/>
    <w:lvl w:ilvl="0" w:tplc="60BEDF80">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5">
    <w:nsid w:val="328C719A"/>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33C54B38"/>
    <w:multiLevelType w:val="hybridMultilevel"/>
    <w:tmpl w:val="0A86FC9A"/>
    <w:lvl w:ilvl="0" w:tplc="0608E208">
      <w:start w:val="1"/>
      <w:numFmt w:val="taiwaneseCountingThousand"/>
      <w:suff w:val="nothing"/>
      <w:lvlText w:val="%1、"/>
      <w:lvlJc w:val="left"/>
      <w:pPr>
        <w:ind w:left="960" w:hanging="48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
    <w:nsid w:val="347B12B2"/>
    <w:multiLevelType w:val="hybridMultilevel"/>
    <w:tmpl w:val="681C540A"/>
    <w:lvl w:ilvl="0" w:tplc="3ABCC8DE">
      <w:start w:val="1"/>
      <w:numFmt w:val="decimal"/>
      <w:lvlText w:val="%1."/>
      <w:lvlJc w:val="left"/>
      <w:pPr>
        <w:tabs>
          <w:tab w:val="num" w:pos="284"/>
        </w:tabs>
        <w:ind w:left="284" w:hanging="284"/>
      </w:pPr>
      <w:rPr>
        <w:rFonts w:ascii="標楷體" w:eastAsia="標楷體" w:hAnsi="標楷體"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35192D36"/>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35455BB6"/>
    <w:multiLevelType w:val="hybridMultilevel"/>
    <w:tmpl w:val="ACF484CA"/>
    <w:lvl w:ilvl="0" w:tplc="BD947DAC">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36285411"/>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373F36EF"/>
    <w:multiLevelType w:val="hybridMultilevel"/>
    <w:tmpl w:val="C11CFAEC"/>
    <w:lvl w:ilvl="0" w:tplc="DC9A99FA">
      <w:start w:val="1"/>
      <w:numFmt w:val="taiwaneseCountingThousand"/>
      <w:lvlText w:val="%1、"/>
      <w:lvlJc w:val="left"/>
      <w:pPr>
        <w:tabs>
          <w:tab w:val="num" w:pos="1227"/>
        </w:tabs>
        <w:ind w:left="1227" w:hanging="27"/>
      </w:pPr>
      <w:rPr>
        <w:rFonts w:cs="Times New Roman"/>
        <w:b w:val="0"/>
      </w:rPr>
    </w:lvl>
    <w:lvl w:ilvl="1" w:tplc="04090019">
      <w:start w:val="1"/>
      <w:numFmt w:val="ideographTraditional"/>
      <w:lvlText w:val="%2、"/>
      <w:lvlJc w:val="left"/>
      <w:pPr>
        <w:tabs>
          <w:tab w:val="num" w:pos="1620"/>
        </w:tabs>
        <w:ind w:left="1620" w:hanging="480"/>
      </w:pPr>
      <w:rPr>
        <w:rFonts w:cs="Times New Roman"/>
      </w:rPr>
    </w:lvl>
    <w:lvl w:ilvl="2" w:tplc="0409001B">
      <w:start w:val="1"/>
      <w:numFmt w:val="lowerRoman"/>
      <w:lvlText w:val="%3."/>
      <w:lvlJc w:val="right"/>
      <w:pPr>
        <w:tabs>
          <w:tab w:val="num" w:pos="2100"/>
        </w:tabs>
        <w:ind w:left="2100" w:hanging="480"/>
      </w:pPr>
      <w:rPr>
        <w:rFonts w:cs="Times New Roman"/>
      </w:rPr>
    </w:lvl>
    <w:lvl w:ilvl="3" w:tplc="0409000F">
      <w:start w:val="1"/>
      <w:numFmt w:val="decimal"/>
      <w:lvlText w:val="%4."/>
      <w:lvlJc w:val="left"/>
      <w:pPr>
        <w:tabs>
          <w:tab w:val="num" w:pos="2580"/>
        </w:tabs>
        <w:ind w:left="2580" w:hanging="480"/>
      </w:pPr>
      <w:rPr>
        <w:rFonts w:cs="Times New Roman"/>
      </w:rPr>
    </w:lvl>
    <w:lvl w:ilvl="4" w:tplc="04090019">
      <w:start w:val="1"/>
      <w:numFmt w:val="ideographTraditional"/>
      <w:lvlText w:val="%5、"/>
      <w:lvlJc w:val="left"/>
      <w:pPr>
        <w:tabs>
          <w:tab w:val="num" w:pos="3060"/>
        </w:tabs>
        <w:ind w:left="3060" w:hanging="480"/>
      </w:pPr>
      <w:rPr>
        <w:rFonts w:cs="Times New Roman"/>
      </w:rPr>
    </w:lvl>
    <w:lvl w:ilvl="5" w:tplc="0409001B">
      <w:start w:val="1"/>
      <w:numFmt w:val="lowerRoman"/>
      <w:lvlText w:val="%6."/>
      <w:lvlJc w:val="right"/>
      <w:pPr>
        <w:tabs>
          <w:tab w:val="num" w:pos="3540"/>
        </w:tabs>
        <w:ind w:left="3540" w:hanging="480"/>
      </w:pPr>
      <w:rPr>
        <w:rFonts w:cs="Times New Roman"/>
      </w:rPr>
    </w:lvl>
    <w:lvl w:ilvl="6" w:tplc="0409000F">
      <w:start w:val="1"/>
      <w:numFmt w:val="decimal"/>
      <w:lvlText w:val="%7."/>
      <w:lvlJc w:val="left"/>
      <w:pPr>
        <w:tabs>
          <w:tab w:val="num" w:pos="4020"/>
        </w:tabs>
        <w:ind w:left="4020" w:hanging="480"/>
      </w:pPr>
      <w:rPr>
        <w:rFonts w:cs="Times New Roman"/>
      </w:rPr>
    </w:lvl>
    <w:lvl w:ilvl="7" w:tplc="04090019">
      <w:start w:val="1"/>
      <w:numFmt w:val="ideographTraditional"/>
      <w:lvlText w:val="%8、"/>
      <w:lvlJc w:val="left"/>
      <w:pPr>
        <w:tabs>
          <w:tab w:val="num" w:pos="4500"/>
        </w:tabs>
        <w:ind w:left="4500" w:hanging="480"/>
      </w:pPr>
      <w:rPr>
        <w:rFonts w:cs="Times New Roman"/>
      </w:rPr>
    </w:lvl>
    <w:lvl w:ilvl="8" w:tplc="0409001B">
      <w:start w:val="1"/>
      <w:numFmt w:val="lowerRoman"/>
      <w:lvlText w:val="%9."/>
      <w:lvlJc w:val="right"/>
      <w:pPr>
        <w:tabs>
          <w:tab w:val="num" w:pos="4980"/>
        </w:tabs>
        <w:ind w:left="4980" w:hanging="480"/>
      </w:pPr>
      <w:rPr>
        <w:rFonts w:cs="Times New Roman"/>
      </w:rPr>
    </w:lvl>
  </w:abstractNum>
  <w:abstractNum w:abstractNumId="102">
    <w:nsid w:val="376A1FDA"/>
    <w:multiLevelType w:val="hybridMultilevel"/>
    <w:tmpl w:val="9D5C804C"/>
    <w:lvl w:ilvl="0" w:tplc="1EA85D1E">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38486BB3"/>
    <w:multiLevelType w:val="hybridMultilevel"/>
    <w:tmpl w:val="08DAE256"/>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4">
    <w:nsid w:val="387062CE"/>
    <w:multiLevelType w:val="hybridMultilevel"/>
    <w:tmpl w:val="65E80CE0"/>
    <w:lvl w:ilvl="0" w:tplc="54221192">
      <w:start w:val="1"/>
      <w:numFmt w:val="decimal"/>
      <w:lvlText w:val="%1."/>
      <w:lvlJc w:val="left"/>
      <w:pPr>
        <w:tabs>
          <w:tab w:val="num" w:pos="284"/>
        </w:tabs>
        <w:ind w:left="284" w:hanging="284"/>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3896156C"/>
    <w:multiLevelType w:val="hybridMultilevel"/>
    <w:tmpl w:val="1B8076CE"/>
    <w:lvl w:ilvl="0" w:tplc="9A0E973C">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38BE0FDB"/>
    <w:multiLevelType w:val="hybridMultilevel"/>
    <w:tmpl w:val="2CD65B02"/>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394F50F9"/>
    <w:multiLevelType w:val="hybridMultilevel"/>
    <w:tmpl w:val="AB14958C"/>
    <w:lvl w:ilvl="0" w:tplc="A5008486">
      <w:start w:val="1"/>
      <w:numFmt w:val="decimal"/>
      <w:lvlText w:val="%1."/>
      <w:lvlJc w:val="left"/>
      <w:pPr>
        <w:tabs>
          <w:tab w:val="num" w:pos="284"/>
        </w:tabs>
        <w:ind w:left="284" w:hanging="284"/>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39DC5C7F"/>
    <w:multiLevelType w:val="hybridMultilevel"/>
    <w:tmpl w:val="39582F0E"/>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9">
    <w:nsid w:val="39E010DE"/>
    <w:multiLevelType w:val="hybridMultilevel"/>
    <w:tmpl w:val="8BAA9BA8"/>
    <w:lvl w:ilvl="0" w:tplc="567076D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3A3E1140"/>
    <w:multiLevelType w:val="hybridMultilevel"/>
    <w:tmpl w:val="00B2F9FE"/>
    <w:lvl w:ilvl="0" w:tplc="C3563C26">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3C235852"/>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2">
    <w:nsid w:val="3C5B275C"/>
    <w:multiLevelType w:val="hybridMultilevel"/>
    <w:tmpl w:val="FC7CB89E"/>
    <w:lvl w:ilvl="0" w:tplc="4790E0A0">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3D052432"/>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3D5522F0"/>
    <w:multiLevelType w:val="hybridMultilevel"/>
    <w:tmpl w:val="A4F60F10"/>
    <w:lvl w:ilvl="0" w:tplc="1664791C">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3DF064AC"/>
    <w:multiLevelType w:val="hybridMultilevel"/>
    <w:tmpl w:val="D7A8EA82"/>
    <w:lvl w:ilvl="0" w:tplc="DC6E139A">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3E3F424F"/>
    <w:multiLevelType w:val="hybridMultilevel"/>
    <w:tmpl w:val="6BB47944"/>
    <w:lvl w:ilvl="0" w:tplc="8528E2D4">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3F5B3980"/>
    <w:multiLevelType w:val="hybridMultilevel"/>
    <w:tmpl w:val="5824B5B4"/>
    <w:lvl w:ilvl="0" w:tplc="60BEDF80">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8">
    <w:nsid w:val="3FAC779F"/>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3FC22438"/>
    <w:multiLevelType w:val="hybridMultilevel"/>
    <w:tmpl w:val="44A82C2C"/>
    <w:lvl w:ilvl="0" w:tplc="4D88B442">
      <w:start w:val="1"/>
      <w:numFmt w:val="decimal"/>
      <w:lvlText w:val="%1."/>
      <w:lvlJc w:val="left"/>
      <w:pPr>
        <w:tabs>
          <w:tab w:val="num" w:pos="284"/>
        </w:tabs>
        <w:ind w:left="284" w:hanging="284"/>
      </w:pPr>
      <w:rPr>
        <w:rFonts w:cs="Times New Roman"/>
        <w:sz w:val="20"/>
        <w:szCs w:val="2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0">
    <w:nsid w:val="4034584D"/>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1">
    <w:nsid w:val="411621AC"/>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411C0349"/>
    <w:multiLevelType w:val="hybridMultilevel"/>
    <w:tmpl w:val="9D0662FA"/>
    <w:lvl w:ilvl="0" w:tplc="B680CF62">
      <w:start w:val="1"/>
      <w:numFmt w:val="decimal"/>
      <w:lvlText w:val="%1."/>
      <w:lvlJc w:val="left"/>
      <w:pPr>
        <w:tabs>
          <w:tab w:val="num" w:pos="284"/>
        </w:tabs>
        <w:ind w:left="284" w:hanging="284"/>
      </w:pPr>
      <w:rPr>
        <w:rFonts w:cs="Times New Roman" w:hint="default"/>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3">
    <w:nsid w:val="42A27A0C"/>
    <w:multiLevelType w:val="hybridMultilevel"/>
    <w:tmpl w:val="BC50FF90"/>
    <w:lvl w:ilvl="0" w:tplc="F27401B4">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42B67CCE"/>
    <w:multiLevelType w:val="hybridMultilevel"/>
    <w:tmpl w:val="4ACE170E"/>
    <w:lvl w:ilvl="0" w:tplc="7B1EC80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432B074E"/>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438B72CF"/>
    <w:multiLevelType w:val="hybridMultilevel"/>
    <w:tmpl w:val="2CD65B02"/>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43BC34B5"/>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43C8043C"/>
    <w:multiLevelType w:val="hybridMultilevel"/>
    <w:tmpl w:val="9102A498"/>
    <w:lvl w:ilvl="0" w:tplc="AEDA9160">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43D21456"/>
    <w:multiLevelType w:val="hybridMultilevel"/>
    <w:tmpl w:val="9D0662FA"/>
    <w:lvl w:ilvl="0" w:tplc="B680CF62">
      <w:start w:val="1"/>
      <w:numFmt w:val="decimal"/>
      <w:lvlText w:val="%1."/>
      <w:lvlJc w:val="left"/>
      <w:pPr>
        <w:tabs>
          <w:tab w:val="num" w:pos="284"/>
        </w:tabs>
        <w:ind w:left="284" w:hanging="284"/>
      </w:pPr>
      <w:rPr>
        <w:rFonts w:cs="Times New Roman" w:hint="default"/>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0">
    <w:nsid w:val="444C5306"/>
    <w:multiLevelType w:val="hybridMultilevel"/>
    <w:tmpl w:val="681C540A"/>
    <w:lvl w:ilvl="0" w:tplc="3ABCC8DE">
      <w:start w:val="1"/>
      <w:numFmt w:val="decimal"/>
      <w:lvlText w:val="%1."/>
      <w:lvlJc w:val="left"/>
      <w:pPr>
        <w:tabs>
          <w:tab w:val="num" w:pos="284"/>
        </w:tabs>
        <w:ind w:left="284" w:hanging="284"/>
      </w:pPr>
      <w:rPr>
        <w:rFonts w:ascii="標楷體" w:eastAsia="標楷體" w:hAnsi="標楷體"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447F79E3"/>
    <w:multiLevelType w:val="multilevel"/>
    <w:tmpl w:val="8BD83EA8"/>
    <w:lvl w:ilvl="0">
      <w:start w:val="1"/>
      <w:numFmt w:val="decimal"/>
      <w:lvlText w:val="%1."/>
      <w:lvlJc w:val="left"/>
      <w:pPr>
        <w:ind w:left="284" w:hanging="284"/>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284" w:hanging="284"/>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2">
    <w:nsid w:val="44F07D83"/>
    <w:multiLevelType w:val="hybridMultilevel"/>
    <w:tmpl w:val="E488C74C"/>
    <w:lvl w:ilvl="0" w:tplc="766EE6B2">
      <w:start w:val="1"/>
      <w:numFmt w:val="decimal"/>
      <w:lvlText w:val="%1、"/>
      <w:lvlJc w:val="left"/>
      <w:pPr>
        <w:ind w:left="365" w:hanging="360"/>
      </w:pPr>
      <w:rPr>
        <w:rFonts w:cs="Times New Roman"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33">
    <w:nsid w:val="450F1754"/>
    <w:multiLevelType w:val="hybridMultilevel"/>
    <w:tmpl w:val="4072B68C"/>
    <w:lvl w:ilvl="0" w:tplc="F26264D4">
      <w:start w:val="1"/>
      <w:numFmt w:val="taiwaneseCountingThousand"/>
      <w:lvlText w:val="%1、"/>
      <w:lvlJc w:val="left"/>
      <w:pPr>
        <w:ind w:left="962" w:hanging="480"/>
      </w:pPr>
      <w:rPr>
        <w:rFonts w:cs="Times New Roman" w:hint="eastAsia"/>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34">
    <w:nsid w:val="45D54AEE"/>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45EA5873"/>
    <w:multiLevelType w:val="hybridMultilevel"/>
    <w:tmpl w:val="F01E5866"/>
    <w:lvl w:ilvl="0" w:tplc="D3946960">
      <w:start w:val="1"/>
      <w:numFmt w:val="decimal"/>
      <w:lvlText w:val="%1."/>
      <w:lvlJc w:val="left"/>
      <w:pPr>
        <w:ind w:left="284" w:hanging="284"/>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46074AA6"/>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46155B87"/>
    <w:multiLevelType w:val="hybridMultilevel"/>
    <w:tmpl w:val="5824B5B4"/>
    <w:lvl w:ilvl="0" w:tplc="60BEDF80">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8">
    <w:nsid w:val="46FF6B80"/>
    <w:multiLevelType w:val="hybridMultilevel"/>
    <w:tmpl w:val="39582F0E"/>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9">
    <w:nsid w:val="471251B0"/>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47EF5BBE"/>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48A4020E"/>
    <w:multiLevelType w:val="hybridMultilevel"/>
    <w:tmpl w:val="21A2866E"/>
    <w:lvl w:ilvl="0" w:tplc="F5F8F0D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494E6C5E"/>
    <w:multiLevelType w:val="hybridMultilevel"/>
    <w:tmpl w:val="B45A6B06"/>
    <w:lvl w:ilvl="0" w:tplc="A83A57E8">
      <w:start w:val="1"/>
      <w:numFmt w:val="decimal"/>
      <w:lvlText w:val="%1."/>
      <w:lvlJc w:val="left"/>
      <w:pPr>
        <w:ind w:left="284"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
    <w:nsid w:val="498B1627"/>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49B43BC4"/>
    <w:multiLevelType w:val="hybridMultilevel"/>
    <w:tmpl w:val="2BCEE4DC"/>
    <w:lvl w:ilvl="0" w:tplc="19089798">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5">
    <w:nsid w:val="4B3206C0"/>
    <w:multiLevelType w:val="hybridMultilevel"/>
    <w:tmpl w:val="F01E5866"/>
    <w:lvl w:ilvl="0" w:tplc="D3946960">
      <w:start w:val="1"/>
      <w:numFmt w:val="decimal"/>
      <w:lvlText w:val="%1."/>
      <w:lvlJc w:val="left"/>
      <w:pPr>
        <w:ind w:left="284" w:hanging="284"/>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4B3459D0"/>
    <w:multiLevelType w:val="hybridMultilevel"/>
    <w:tmpl w:val="BF28033C"/>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4BBB0FFF"/>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8">
    <w:nsid w:val="4C081EEC"/>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9">
    <w:nsid w:val="4CC90764"/>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0">
    <w:nsid w:val="4E137550"/>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1">
    <w:nsid w:val="4E6F40D6"/>
    <w:multiLevelType w:val="hybridMultilevel"/>
    <w:tmpl w:val="583C4DDE"/>
    <w:lvl w:ilvl="0" w:tplc="19089798">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2">
    <w:nsid w:val="4EAC7279"/>
    <w:multiLevelType w:val="hybridMultilevel"/>
    <w:tmpl w:val="C390E68C"/>
    <w:lvl w:ilvl="0" w:tplc="32E29062">
      <w:start w:val="2"/>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4F39768D"/>
    <w:multiLevelType w:val="hybridMultilevel"/>
    <w:tmpl w:val="8BAA9BA8"/>
    <w:lvl w:ilvl="0" w:tplc="567076D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50424A23"/>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5">
    <w:nsid w:val="50BA39B2"/>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6">
    <w:nsid w:val="511E3AE3"/>
    <w:multiLevelType w:val="hybridMultilevel"/>
    <w:tmpl w:val="8BAA9BA8"/>
    <w:lvl w:ilvl="0" w:tplc="567076D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52DC7923"/>
    <w:multiLevelType w:val="hybridMultilevel"/>
    <w:tmpl w:val="286E4868"/>
    <w:lvl w:ilvl="0" w:tplc="5EA42F60">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8">
    <w:nsid w:val="52E96DC1"/>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547C5CAC"/>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567168CC"/>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1">
    <w:nsid w:val="57B61866"/>
    <w:multiLevelType w:val="hybridMultilevel"/>
    <w:tmpl w:val="872AB7FA"/>
    <w:lvl w:ilvl="0" w:tplc="42B6AC8A">
      <w:start w:val="1"/>
      <w:numFmt w:val="decimal"/>
      <w:lvlText w:val="%1."/>
      <w:lvlJc w:val="left"/>
      <w:pPr>
        <w:ind w:left="284" w:hanging="284"/>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nsid w:val="57B62476"/>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3">
    <w:nsid w:val="58E17E95"/>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4">
    <w:nsid w:val="5A164744"/>
    <w:multiLevelType w:val="hybridMultilevel"/>
    <w:tmpl w:val="EE3E3F2E"/>
    <w:lvl w:ilvl="0" w:tplc="9560F612">
      <w:start w:val="1"/>
      <w:numFmt w:val="taiwaneseCountingThousand"/>
      <w:suff w:val="nothing"/>
      <w:lvlText w:val="%1、"/>
      <w:lvlJc w:val="left"/>
      <w:pPr>
        <w:ind w:left="0" w:firstLine="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5">
    <w:nsid w:val="5AA070B1"/>
    <w:multiLevelType w:val="hybridMultilevel"/>
    <w:tmpl w:val="6B867294"/>
    <w:lvl w:ilvl="0" w:tplc="14823102">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5B2606F0"/>
    <w:multiLevelType w:val="hybridMultilevel"/>
    <w:tmpl w:val="87F063D6"/>
    <w:lvl w:ilvl="0" w:tplc="0409000F">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7">
    <w:nsid w:val="5B3A182B"/>
    <w:multiLevelType w:val="hybridMultilevel"/>
    <w:tmpl w:val="2BCEE4DC"/>
    <w:lvl w:ilvl="0" w:tplc="19089798">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8">
    <w:nsid w:val="5C8C3257"/>
    <w:multiLevelType w:val="hybridMultilevel"/>
    <w:tmpl w:val="27C62E6A"/>
    <w:lvl w:ilvl="0" w:tplc="89921126">
      <w:start w:val="1"/>
      <w:numFmt w:val="decimal"/>
      <w:lvlText w:val="%1."/>
      <w:lvlJc w:val="left"/>
      <w:pPr>
        <w:tabs>
          <w:tab w:val="num" w:pos="284"/>
        </w:tabs>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5CF20BCC"/>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5CFE35C5"/>
    <w:multiLevelType w:val="hybridMultilevel"/>
    <w:tmpl w:val="BF28033C"/>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5E0D63B4"/>
    <w:multiLevelType w:val="hybridMultilevel"/>
    <w:tmpl w:val="17C68822"/>
    <w:lvl w:ilvl="0" w:tplc="F370B318">
      <w:start w:val="1"/>
      <w:numFmt w:val="decimal"/>
      <w:lvlText w:val="%1."/>
      <w:lvlJc w:val="left"/>
      <w:pPr>
        <w:tabs>
          <w:tab w:val="num" w:pos="284"/>
        </w:tabs>
        <w:ind w:left="284" w:hanging="284"/>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5E4C4916"/>
    <w:multiLevelType w:val="hybridMultilevel"/>
    <w:tmpl w:val="2F064C1C"/>
    <w:lvl w:ilvl="0" w:tplc="E0D61B5A">
      <w:start w:val="2"/>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5EC73097"/>
    <w:multiLevelType w:val="hybridMultilevel"/>
    <w:tmpl w:val="A4F60F10"/>
    <w:lvl w:ilvl="0" w:tplc="1664791C">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5ECF7941"/>
    <w:multiLevelType w:val="hybridMultilevel"/>
    <w:tmpl w:val="5ACE087C"/>
    <w:lvl w:ilvl="0" w:tplc="4BC4251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5F144319"/>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6">
    <w:nsid w:val="617A4920"/>
    <w:multiLevelType w:val="hybridMultilevel"/>
    <w:tmpl w:val="29586E4C"/>
    <w:lvl w:ilvl="0" w:tplc="5EA42F60">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7">
    <w:nsid w:val="63172333"/>
    <w:multiLevelType w:val="hybridMultilevel"/>
    <w:tmpl w:val="BC50FF90"/>
    <w:lvl w:ilvl="0" w:tplc="F27401B4">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63B26B03"/>
    <w:multiLevelType w:val="hybridMultilevel"/>
    <w:tmpl w:val="B8C28EA6"/>
    <w:lvl w:ilvl="0" w:tplc="3DDEBF92">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63B71DA2"/>
    <w:multiLevelType w:val="hybridMultilevel"/>
    <w:tmpl w:val="EE52447C"/>
    <w:lvl w:ilvl="0" w:tplc="D7CE7B28">
      <w:start w:val="1"/>
      <w:numFmt w:val="decimal"/>
      <w:lvlText w:val="%1."/>
      <w:lvlJc w:val="left"/>
      <w:pPr>
        <w:ind w:left="284" w:hanging="284"/>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65066EC5"/>
    <w:multiLevelType w:val="hybridMultilevel"/>
    <w:tmpl w:val="8C4CBDA8"/>
    <w:lvl w:ilvl="0" w:tplc="0B4E0A46">
      <w:start w:val="1"/>
      <w:numFmt w:val="decimal"/>
      <w:lvlText w:val="%1."/>
      <w:lvlJc w:val="left"/>
      <w:pPr>
        <w:ind w:left="284" w:hanging="284"/>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81">
    <w:nsid w:val="652A49A6"/>
    <w:multiLevelType w:val="hybridMultilevel"/>
    <w:tmpl w:val="AEBCD1AE"/>
    <w:lvl w:ilvl="0" w:tplc="C6648610">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nsid w:val="65955C34"/>
    <w:multiLevelType w:val="hybridMultilevel"/>
    <w:tmpl w:val="0F5EDE98"/>
    <w:lvl w:ilvl="0" w:tplc="FE42EFD4">
      <w:start w:val="1"/>
      <w:numFmt w:val="decimal"/>
      <w:lvlText w:val="%1."/>
      <w:lvlJc w:val="left"/>
      <w:pPr>
        <w:tabs>
          <w:tab w:val="num" w:pos="284"/>
        </w:tabs>
        <w:ind w:left="284" w:hanging="284"/>
      </w:pPr>
      <w:rPr>
        <w:rFonts w:ascii="Times New Roman" w:eastAsia="標楷體" w:hAnsi="Times New Roman" w:cs="Times New Roman"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66146412"/>
    <w:multiLevelType w:val="hybridMultilevel"/>
    <w:tmpl w:val="10DC358E"/>
    <w:lvl w:ilvl="0" w:tplc="0409000F">
      <w:start w:val="1"/>
      <w:numFmt w:val="decimal"/>
      <w:lvlText w:val="%1."/>
      <w:lvlJc w:val="left"/>
      <w:pPr>
        <w:ind w:left="480" w:hanging="480"/>
      </w:pPr>
    </w:lvl>
    <w:lvl w:ilvl="1" w:tplc="9178250C">
      <w:start w:val="1"/>
      <w:numFmt w:val="decimal"/>
      <w:lvlText w:val="(%2)"/>
      <w:lvlJc w:val="center"/>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nsid w:val="66841324"/>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5">
    <w:nsid w:val="66C86152"/>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6">
    <w:nsid w:val="678811F9"/>
    <w:multiLevelType w:val="hybridMultilevel"/>
    <w:tmpl w:val="81DA2D60"/>
    <w:lvl w:ilvl="0" w:tplc="E99A7DB2">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7">
    <w:nsid w:val="67E624F3"/>
    <w:multiLevelType w:val="hybridMultilevel"/>
    <w:tmpl w:val="AEC418E4"/>
    <w:lvl w:ilvl="0" w:tplc="5830AD6C">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nsid w:val="68527006"/>
    <w:multiLevelType w:val="hybridMultilevel"/>
    <w:tmpl w:val="8BAA9BA8"/>
    <w:lvl w:ilvl="0" w:tplc="567076D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68E01CA2"/>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nsid w:val="69792274"/>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nsid w:val="69E95548"/>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nsid w:val="6A535236"/>
    <w:multiLevelType w:val="hybridMultilevel"/>
    <w:tmpl w:val="F8322FC8"/>
    <w:lvl w:ilvl="0" w:tplc="66EE18A6">
      <w:start w:val="1"/>
      <w:numFmt w:val="decimal"/>
      <w:lvlText w:val="%1."/>
      <w:lvlJc w:val="left"/>
      <w:pPr>
        <w:ind w:left="284" w:hanging="284"/>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nsid w:val="6BB2649F"/>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nsid w:val="6CEE3245"/>
    <w:multiLevelType w:val="hybridMultilevel"/>
    <w:tmpl w:val="84C4BAA6"/>
    <w:lvl w:ilvl="0" w:tplc="E208D278">
      <w:start w:val="1"/>
      <w:numFmt w:val="decimal"/>
      <w:lvlText w:val="%1."/>
      <w:lvlJc w:val="left"/>
      <w:pPr>
        <w:ind w:left="284" w:hanging="284"/>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nsid w:val="6D344364"/>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6D6871E6"/>
    <w:multiLevelType w:val="hybridMultilevel"/>
    <w:tmpl w:val="ED9C3950"/>
    <w:lvl w:ilvl="0" w:tplc="AA1217EA">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6DD55933"/>
    <w:multiLevelType w:val="hybridMultilevel"/>
    <w:tmpl w:val="755E38F4"/>
    <w:lvl w:ilvl="0" w:tplc="CA8010FC">
      <w:start w:val="2"/>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nsid w:val="6DD71EBB"/>
    <w:multiLevelType w:val="hybridMultilevel"/>
    <w:tmpl w:val="AE9E507E"/>
    <w:lvl w:ilvl="0" w:tplc="E5B634EC">
      <w:start w:val="1"/>
      <w:numFmt w:val="taiwaneseCountingThousand"/>
      <w:suff w:val="space"/>
      <w:lvlText w:val="%1、"/>
      <w:lvlJc w:val="left"/>
      <w:pPr>
        <w:ind w:left="484" w:hanging="484"/>
      </w:pPr>
      <w:rPr>
        <w:rFonts w:hAnsi="新細明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9">
    <w:nsid w:val="6FEE5C7C"/>
    <w:multiLevelType w:val="multilevel"/>
    <w:tmpl w:val="8BD83EA8"/>
    <w:lvl w:ilvl="0">
      <w:start w:val="1"/>
      <w:numFmt w:val="decimal"/>
      <w:lvlText w:val="%1."/>
      <w:lvlJc w:val="left"/>
      <w:pPr>
        <w:ind w:left="284" w:hanging="284"/>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284" w:hanging="284"/>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00">
    <w:nsid w:val="70DD1221"/>
    <w:multiLevelType w:val="hybridMultilevel"/>
    <w:tmpl w:val="CF58ECC6"/>
    <w:lvl w:ilvl="0" w:tplc="C8B08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nsid w:val="7198373A"/>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nsid w:val="71E82F9D"/>
    <w:multiLevelType w:val="hybridMultilevel"/>
    <w:tmpl w:val="9D0662FA"/>
    <w:lvl w:ilvl="0" w:tplc="B680CF62">
      <w:start w:val="1"/>
      <w:numFmt w:val="decimal"/>
      <w:lvlText w:val="%1."/>
      <w:lvlJc w:val="left"/>
      <w:pPr>
        <w:tabs>
          <w:tab w:val="num" w:pos="284"/>
        </w:tabs>
        <w:ind w:left="284" w:hanging="284"/>
      </w:pPr>
      <w:rPr>
        <w:rFonts w:cs="Times New Roman" w:hint="default"/>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3">
    <w:nsid w:val="71F22642"/>
    <w:multiLevelType w:val="hybridMultilevel"/>
    <w:tmpl w:val="FA040E46"/>
    <w:lvl w:ilvl="0" w:tplc="092C1A4A">
      <w:start w:val="1"/>
      <w:numFmt w:val="taiwaneseCountingThousand"/>
      <w:suff w:val="space"/>
      <w:lvlText w:val="%1、"/>
      <w:lvlJc w:val="left"/>
      <w:pPr>
        <w:ind w:left="764" w:hanging="284"/>
      </w:pPr>
      <w:rPr>
        <w:rFonts w:hAnsi="新細明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4">
    <w:nsid w:val="738D395A"/>
    <w:multiLevelType w:val="multilevel"/>
    <w:tmpl w:val="3D5EB1DC"/>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upperLetter"/>
      <w:lvlText w:val="%6."/>
      <w:lvlJc w:val="left"/>
      <w:pPr>
        <w:tabs>
          <w:tab w:val="num" w:pos="3260"/>
        </w:tabs>
        <w:ind w:left="3260" w:hanging="1134"/>
      </w:pPr>
      <w:rPr>
        <w:rFonts w:hint="eastAsia"/>
      </w:rPr>
    </w:lvl>
    <w:lvl w:ilvl="6">
      <w:start w:val="1"/>
      <w:numFmt w:val="lowerLetter"/>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5">
    <w:nsid w:val="759B06C0"/>
    <w:multiLevelType w:val="hybridMultilevel"/>
    <w:tmpl w:val="0666AF5C"/>
    <w:lvl w:ilvl="0" w:tplc="1D521634">
      <w:start w:val="1"/>
      <w:numFmt w:val="decimal"/>
      <w:lvlText w:val="%1."/>
      <w:lvlJc w:val="left"/>
      <w:pPr>
        <w:ind w:left="284" w:hanging="284"/>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nsid w:val="763E7E6A"/>
    <w:multiLevelType w:val="hybridMultilevel"/>
    <w:tmpl w:val="FE221E88"/>
    <w:lvl w:ilvl="0" w:tplc="0EA8807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nsid w:val="76573DAD"/>
    <w:multiLevelType w:val="hybridMultilevel"/>
    <w:tmpl w:val="24E85E14"/>
    <w:lvl w:ilvl="0" w:tplc="1D521634">
      <w:start w:val="1"/>
      <w:numFmt w:val="decimal"/>
      <w:lvlText w:val="%1."/>
      <w:lvlJc w:val="left"/>
      <w:pPr>
        <w:ind w:left="284" w:hanging="284"/>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nsid w:val="766D75BC"/>
    <w:multiLevelType w:val="hybridMultilevel"/>
    <w:tmpl w:val="BF28033C"/>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nsid w:val="76783861"/>
    <w:multiLevelType w:val="hybridMultilevel"/>
    <w:tmpl w:val="FC7CB89E"/>
    <w:lvl w:ilvl="0" w:tplc="4790E0A0">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nsid w:val="76A310F4"/>
    <w:multiLevelType w:val="hybridMultilevel"/>
    <w:tmpl w:val="045238C8"/>
    <w:lvl w:ilvl="0" w:tplc="D0583AFA">
      <w:start w:val="1"/>
      <w:numFmt w:val="decimal"/>
      <w:lvlText w:val="%1."/>
      <w:lvlJc w:val="left"/>
      <w:pPr>
        <w:ind w:left="284" w:hanging="284"/>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1">
    <w:nsid w:val="77025180"/>
    <w:multiLevelType w:val="hybridMultilevel"/>
    <w:tmpl w:val="069007A6"/>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nsid w:val="77166788"/>
    <w:multiLevelType w:val="multilevel"/>
    <w:tmpl w:val="68E44C76"/>
    <w:lvl w:ilvl="0">
      <w:start w:val="1"/>
      <w:numFmt w:val="decimal"/>
      <w:lvlText w:val="%1."/>
      <w:lvlJc w:val="left"/>
      <w:pPr>
        <w:ind w:left="284" w:hanging="284"/>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3">
    <w:nsid w:val="773D3C9C"/>
    <w:multiLevelType w:val="hybridMultilevel"/>
    <w:tmpl w:val="681C540A"/>
    <w:lvl w:ilvl="0" w:tplc="3ABCC8DE">
      <w:start w:val="1"/>
      <w:numFmt w:val="decimal"/>
      <w:lvlText w:val="%1."/>
      <w:lvlJc w:val="left"/>
      <w:pPr>
        <w:tabs>
          <w:tab w:val="num" w:pos="284"/>
        </w:tabs>
        <w:ind w:left="284" w:hanging="284"/>
      </w:pPr>
      <w:rPr>
        <w:rFonts w:ascii="標楷體" w:eastAsia="標楷體" w:hAnsi="標楷體"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nsid w:val="783B37EC"/>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nsid w:val="79D10D94"/>
    <w:multiLevelType w:val="hybridMultilevel"/>
    <w:tmpl w:val="8BAA9BA8"/>
    <w:lvl w:ilvl="0" w:tplc="567076D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nsid w:val="79F57399"/>
    <w:multiLevelType w:val="hybridMultilevel"/>
    <w:tmpl w:val="BF28033C"/>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nsid w:val="7CD54C68"/>
    <w:multiLevelType w:val="hybridMultilevel"/>
    <w:tmpl w:val="D32838B4"/>
    <w:lvl w:ilvl="0" w:tplc="90BABC9A">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nsid w:val="7CEE7D60"/>
    <w:multiLevelType w:val="hybridMultilevel"/>
    <w:tmpl w:val="4ACE170E"/>
    <w:lvl w:ilvl="0" w:tplc="7B1EC80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nsid w:val="7D48783A"/>
    <w:multiLevelType w:val="hybridMultilevel"/>
    <w:tmpl w:val="663EE622"/>
    <w:lvl w:ilvl="0" w:tplc="FECA4B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nsid w:val="7D58609E"/>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nsid w:val="7D742A81"/>
    <w:multiLevelType w:val="hybridMultilevel"/>
    <w:tmpl w:val="7E8AFB40"/>
    <w:lvl w:ilvl="0" w:tplc="99C48864">
      <w:start w:val="2"/>
      <w:numFmt w:val="decimal"/>
      <w:lvlText w:val="%1."/>
      <w:lvlJc w:val="left"/>
      <w:pPr>
        <w:tabs>
          <w:tab w:val="num" w:pos="284"/>
        </w:tabs>
        <w:ind w:left="284" w:hanging="284"/>
      </w:pPr>
      <w:rPr>
        <w:rFonts w:cs="Times New Roman"/>
        <w:sz w:val="20"/>
        <w:szCs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2">
    <w:nsid w:val="7D98726E"/>
    <w:multiLevelType w:val="hybridMultilevel"/>
    <w:tmpl w:val="681C540A"/>
    <w:lvl w:ilvl="0" w:tplc="3ABCC8DE">
      <w:start w:val="1"/>
      <w:numFmt w:val="decimal"/>
      <w:lvlText w:val="%1."/>
      <w:lvlJc w:val="left"/>
      <w:pPr>
        <w:tabs>
          <w:tab w:val="num" w:pos="284"/>
        </w:tabs>
        <w:ind w:left="284" w:hanging="284"/>
      </w:pPr>
      <w:rPr>
        <w:rFonts w:ascii="標楷體" w:eastAsia="標楷體" w:hAnsi="標楷體"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nsid w:val="7DEC1E6E"/>
    <w:multiLevelType w:val="hybridMultilevel"/>
    <w:tmpl w:val="39582F0E"/>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4">
    <w:nsid w:val="7E217D48"/>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nsid w:val="7E7E7CEA"/>
    <w:multiLevelType w:val="hybridMultilevel"/>
    <w:tmpl w:val="6E622DF4"/>
    <w:lvl w:ilvl="0" w:tplc="DEFE4488">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nsid w:val="7EA962C7"/>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nsid w:val="7ED17B74"/>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nsid w:val="7F0F47E6"/>
    <w:multiLevelType w:val="hybridMultilevel"/>
    <w:tmpl w:val="E536DB32"/>
    <w:lvl w:ilvl="0" w:tplc="B28E6E1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nsid w:val="7FDB477E"/>
    <w:multiLevelType w:val="hybridMultilevel"/>
    <w:tmpl w:val="C3508AEE"/>
    <w:lvl w:ilvl="0" w:tplc="95A68A74">
      <w:start w:val="1"/>
      <w:numFmt w:val="decimal"/>
      <w:lvlText w:val="%1."/>
      <w:lvlJc w:val="left"/>
      <w:pPr>
        <w:tabs>
          <w:tab w:val="num" w:pos="284"/>
        </w:tabs>
        <w:ind w:left="284" w:hanging="284"/>
      </w:pPr>
      <w:rPr>
        <w:rFonts w:hint="eastAsia"/>
      </w:rPr>
    </w:lvl>
    <w:lvl w:ilvl="1" w:tplc="776AAA3E">
      <w:start w:val="3"/>
      <w:numFmt w:val="japaneseLeg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4"/>
  </w:num>
  <w:num w:numId="2">
    <w:abstractNumId w:val="137"/>
  </w:num>
  <w:num w:numId="3">
    <w:abstractNumId w:val="73"/>
  </w:num>
  <w:num w:numId="4">
    <w:abstractNumId w:val="51"/>
  </w:num>
  <w:num w:numId="5">
    <w:abstractNumId w:val="228"/>
  </w:num>
  <w:num w:numId="6">
    <w:abstractNumId w:val="99"/>
  </w:num>
  <w:num w:numId="7">
    <w:abstractNumId w:val="135"/>
  </w:num>
  <w:num w:numId="8">
    <w:abstractNumId w:val="145"/>
  </w:num>
  <w:num w:numId="9">
    <w:abstractNumId w:val="167"/>
  </w:num>
  <w:num w:numId="10">
    <w:abstractNumId w:val="69"/>
  </w:num>
  <w:num w:numId="11">
    <w:abstractNumId w:val="100"/>
  </w:num>
  <w:num w:numId="12">
    <w:abstractNumId w:val="68"/>
  </w:num>
  <w:num w:numId="13">
    <w:abstractNumId w:val="158"/>
  </w:num>
  <w:num w:numId="14">
    <w:abstractNumId w:val="134"/>
  </w:num>
  <w:num w:numId="15">
    <w:abstractNumId w:val="193"/>
  </w:num>
  <w:num w:numId="16">
    <w:abstractNumId w:val="89"/>
  </w:num>
  <w:num w:numId="17">
    <w:abstractNumId w:val="6"/>
  </w:num>
  <w:num w:numId="18">
    <w:abstractNumId w:val="191"/>
  </w:num>
  <w:num w:numId="19">
    <w:abstractNumId w:val="98"/>
  </w:num>
  <w:num w:numId="20">
    <w:abstractNumId w:val="195"/>
  </w:num>
  <w:num w:numId="21">
    <w:abstractNumId w:val="169"/>
  </w:num>
  <w:num w:numId="22">
    <w:abstractNumId w:val="127"/>
  </w:num>
  <w:num w:numId="23">
    <w:abstractNumId w:val="144"/>
  </w:num>
  <w:num w:numId="24">
    <w:abstractNumId w:val="204"/>
  </w:num>
  <w:num w:numId="25">
    <w:abstractNumId w:val="210"/>
  </w:num>
  <w:num w:numId="26">
    <w:abstractNumId w:val="75"/>
  </w:num>
  <w:num w:numId="27">
    <w:abstractNumId w:val="142"/>
  </w:num>
  <w:num w:numId="28">
    <w:abstractNumId w:val="110"/>
  </w:num>
  <w:num w:numId="29">
    <w:abstractNumId w:val="225"/>
  </w:num>
  <w:num w:numId="30">
    <w:abstractNumId w:val="176"/>
  </w:num>
  <w:num w:numId="31">
    <w:abstractNumId w:val="157"/>
  </w:num>
  <w:num w:numId="32">
    <w:abstractNumId w:val="87"/>
  </w:num>
  <w:num w:numId="33">
    <w:abstractNumId w:val="128"/>
  </w:num>
  <w:num w:numId="34">
    <w:abstractNumId w:val="196"/>
  </w:num>
  <w:num w:numId="35">
    <w:abstractNumId w:val="206"/>
  </w:num>
  <w:num w:numId="36">
    <w:abstractNumId w:val="96"/>
  </w:num>
  <w:num w:numId="37">
    <w:abstractNumId w:val="178"/>
  </w:num>
  <w:num w:numId="38">
    <w:abstractNumId w:val="192"/>
  </w:num>
  <w:num w:numId="39">
    <w:abstractNumId w:val="205"/>
  </w:num>
  <w:num w:numId="40">
    <w:abstractNumId w:val="46"/>
  </w:num>
  <w:num w:numId="41">
    <w:abstractNumId w:val="207"/>
  </w:num>
  <w:num w:numId="42">
    <w:abstractNumId w:val="52"/>
  </w:num>
  <w:num w:numId="43">
    <w:abstractNumId w:val="164"/>
  </w:num>
  <w:num w:numId="44">
    <w:abstractNumId w:val="56"/>
  </w:num>
  <w:num w:numId="45">
    <w:abstractNumId w:val="226"/>
  </w:num>
  <w:num w:numId="46">
    <w:abstractNumId w:val="55"/>
  </w:num>
  <w:num w:numId="47">
    <w:abstractNumId w:val="77"/>
  </w:num>
  <w:num w:numId="48">
    <w:abstractNumId w:val="201"/>
  </w:num>
  <w:num w:numId="49">
    <w:abstractNumId w:val="113"/>
  </w:num>
  <w:num w:numId="50">
    <w:abstractNumId w:val="143"/>
  </w:num>
  <w:num w:numId="51">
    <w:abstractNumId w:val="214"/>
  </w:num>
  <w:num w:numId="52">
    <w:abstractNumId w:val="65"/>
  </w:num>
  <w:num w:numId="53">
    <w:abstractNumId w:val="95"/>
  </w:num>
  <w:num w:numId="54">
    <w:abstractNumId w:val="8"/>
  </w:num>
  <w:num w:numId="55">
    <w:abstractNumId w:val="118"/>
  </w:num>
  <w:num w:numId="56">
    <w:abstractNumId w:val="64"/>
  </w:num>
  <w:num w:numId="57">
    <w:abstractNumId w:val="76"/>
  </w:num>
  <w:num w:numId="58">
    <w:abstractNumId w:val="12"/>
  </w:num>
  <w:num w:numId="59">
    <w:abstractNumId w:val="171"/>
  </w:num>
  <w:num w:numId="60">
    <w:abstractNumId w:val="107"/>
  </w:num>
  <w:num w:numId="61">
    <w:abstractNumId w:val="20"/>
  </w:num>
  <w:num w:numId="62">
    <w:abstractNumId w:val="74"/>
  </w:num>
  <w:num w:numId="63">
    <w:abstractNumId w:val="184"/>
  </w:num>
  <w:num w:numId="64">
    <w:abstractNumId w:val="160"/>
  </w:num>
  <w:num w:numId="65">
    <w:abstractNumId w:val="34"/>
  </w:num>
  <w:num w:numId="66">
    <w:abstractNumId w:val="111"/>
  </w:num>
  <w:num w:numId="67">
    <w:abstractNumId w:val="154"/>
  </w:num>
  <w:num w:numId="68">
    <w:abstractNumId w:val="53"/>
  </w:num>
  <w:num w:numId="69">
    <w:abstractNumId w:val="149"/>
  </w:num>
  <w:num w:numId="70">
    <w:abstractNumId w:val="72"/>
  </w:num>
  <w:num w:numId="71">
    <w:abstractNumId w:val="172"/>
  </w:num>
  <w:num w:numId="72">
    <w:abstractNumId w:val="120"/>
  </w:num>
  <w:num w:numId="73">
    <w:abstractNumId w:val="155"/>
  </w:num>
  <w:num w:numId="74">
    <w:abstractNumId w:val="40"/>
  </w:num>
  <w:num w:numId="75">
    <w:abstractNumId w:val="30"/>
  </w:num>
  <w:num w:numId="76">
    <w:abstractNumId w:val="163"/>
  </w:num>
  <w:num w:numId="77">
    <w:abstractNumId w:val="147"/>
  </w:num>
  <w:num w:numId="78">
    <w:abstractNumId w:val="150"/>
  </w:num>
  <w:num w:numId="79">
    <w:abstractNumId w:val="36"/>
  </w:num>
  <w:num w:numId="80">
    <w:abstractNumId w:val="175"/>
  </w:num>
  <w:num w:numId="81">
    <w:abstractNumId w:val="162"/>
  </w:num>
  <w:num w:numId="82">
    <w:abstractNumId w:val="185"/>
  </w:num>
  <w:num w:numId="83">
    <w:abstractNumId w:val="148"/>
  </w:num>
  <w:num w:numId="8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9"/>
  </w:num>
  <w:num w:numId="100">
    <w:abstractNumId w:val="0"/>
  </w:num>
  <w:num w:numId="101">
    <w:abstractNumId w:val="24"/>
  </w:num>
  <w:num w:numId="102">
    <w:abstractNumId w:val="2"/>
  </w:num>
  <w:num w:numId="103">
    <w:abstractNumId w:val="190"/>
  </w:num>
  <w:num w:numId="104">
    <w:abstractNumId w:val="11"/>
  </w:num>
  <w:num w:numId="105">
    <w:abstractNumId w:val="81"/>
  </w:num>
  <w:num w:numId="106">
    <w:abstractNumId w:val="189"/>
  </w:num>
  <w:num w:numId="107">
    <w:abstractNumId w:val="57"/>
  </w:num>
  <w:num w:numId="108">
    <w:abstractNumId w:val="224"/>
  </w:num>
  <w:num w:numId="109">
    <w:abstractNumId w:val="21"/>
  </w:num>
  <w:num w:numId="110">
    <w:abstractNumId w:val="121"/>
  </w:num>
  <w:num w:numId="111">
    <w:abstractNumId w:val="14"/>
  </w:num>
  <w:num w:numId="112">
    <w:abstractNumId w:val="220"/>
  </w:num>
  <w:num w:numId="113">
    <w:abstractNumId w:val="91"/>
  </w:num>
  <w:num w:numId="114">
    <w:abstractNumId w:val="211"/>
  </w:num>
  <w:num w:numId="115">
    <w:abstractNumId w:val="29"/>
  </w:num>
  <w:num w:numId="116">
    <w:abstractNumId w:val="229"/>
  </w:num>
  <w:num w:numId="117">
    <w:abstractNumId w:val="7"/>
  </w:num>
  <w:num w:numId="118">
    <w:abstractNumId w:val="188"/>
  </w:num>
  <w:num w:numId="119">
    <w:abstractNumId w:val="215"/>
  </w:num>
  <w:num w:numId="120">
    <w:abstractNumId w:val="153"/>
  </w:num>
  <w:num w:numId="121">
    <w:abstractNumId w:val="156"/>
  </w:num>
  <w:num w:numId="122">
    <w:abstractNumId w:val="101"/>
  </w:num>
  <w:num w:numId="123">
    <w:abstractNumId w:val="31"/>
  </w:num>
  <w:num w:numId="124">
    <w:abstractNumId w:val="117"/>
  </w:num>
  <w:num w:numId="125">
    <w:abstractNumId w:val="38"/>
  </w:num>
  <w:num w:numId="126">
    <w:abstractNumId w:val="42"/>
  </w:num>
  <w:num w:numId="127">
    <w:abstractNumId w:val="94"/>
  </w:num>
  <w:num w:numId="128">
    <w:abstractNumId w:val="54"/>
  </w:num>
  <w:num w:numId="129">
    <w:abstractNumId w:val="183"/>
  </w:num>
  <w:num w:numId="130">
    <w:abstractNumId w:val="200"/>
  </w:num>
  <w:num w:numId="131">
    <w:abstractNumId w:val="23"/>
  </w:num>
  <w:num w:numId="132">
    <w:abstractNumId w:val="67"/>
  </w:num>
  <w:num w:numId="133">
    <w:abstractNumId w:val="104"/>
  </w:num>
  <w:num w:numId="134">
    <w:abstractNumId w:val="39"/>
  </w:num>
  <w:num w:numId="135">
    <w:abstractNumId w:val="86"/>
  </w:num>
  <w:num w:numId="136">
    <w:abstractNumId w:val="136"/>
  </w:num>
  <w:num w:numId="137">
    <w:abstractNumId w:val="125"/>
  </w:num>
  <w:num w:numId="138">
    <w:abstractNumId w:val="227"/>
  </w:num>
  <w:num w:numId="139">
    <w:abstractNumId w:val="159"/>
  </w:num>
  <w:num w:numId="140">
    <w:abstractNumId w:val="27"/>
  </w:num>
  <w:num w:numId="141">
    <w:abstractNumId w:val="139"/>
  </w:num>
  <w:num w:numId="142">
    <w:abstractNumId w:val="194"/>
  </w:num>
  <w:num w:numId="143">
    <w:abstractNumId w:val="37"/>
  </w:num>
  <w:num w:numId="144">
    <w:abstractNumId w:val="102"/>
  </w:num>
  <w:num w:numId="145">
    <w:abstractNumId w:val="83"/>
  </w:num>
  <w:num w:numId="146">
    <w:abstractNumId w:val="47"/>
  </w:num>
  <w:num w:numId="147">
    <w:abstractNumId w:val="35"/>
  </w:num>
  <w:num w:numId="148">
    <w:abstractNumId w:val="187"/>
  </w:num>
  <w:num w:numId="1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86"/>
  </w:num>
  <w:num w:numId="151">
    <w:abstractNumId w:val="1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99"/>
  </w:num>
  <w:num w:numId="154">
    <w:abstractNumId w:val="124"/>
  </w:num>
  <w:num w:numId="155">
    <w:abstractNumId w:val="92"/>
  </w:num>
  <w:num w:numId="156">
    <w:abstractNumId w:val="32"/>
  </w:num>
  <w:num w:numId="157">
    <w:abstractNumId w:val="131"/>
  </w:num>
  <w:num w:numId="158">
    <w:abstractNumId w:val="4"/>
  </w:num>
  <w:num w:numId="159">
    <w:abstractNumId w:val="218"/>
  </w:num>
  <w:num w:numId="160">
    <w:abstractNumId w:val="63"/>
  </w:num>
  <w:num w:numId="161">
    <w:abstractNumId w:val="88"/>
  </w:num>
  <w:num w:numId="162">
    <w:abstractNumId w:val="71"/>
  </w:num>
  <w:num w:numId="163">
    <w:abstractNumId w:val="151"/>
  </w:num>
  <w:num w:numId="164">
    <w:abstractNumId w:val="93"/>
  </w:num>
  <w:num w:numId="165">
    <w:abstractNumId w:val="168"/>
  </w:num>
  <w:num w:numId="166">
    <w:abstractNumId w:val="22"/>
  </w:num>
  <w:num w:numId="167">
    <w:abstractNumId w:val="19"/>
  </w:num>
  <w:num w:numId="168">
    <w:abstractNumId w:val="1"/>
  </w:num>
  <w:num w:numId="1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6"/>
  </w:num>
  <w:num w:numId="172">
    <w:abstractNumId w:val="181"/>
  </w:num>
  <w:num w:numId="173">
    <w:abstractNumId w:val="212"/>
  </w:num>
  <w:num w:numId="174">
    <w:abstractNumId w:val="133"/>
  </w:num>
  <w:num w:numId="175">
    <w:abstractNumId w:val="161"/>
  </w:num>
  <w:num w:numId="176">
    <w:abstractNumId w:val="49"/>
  </w:num>
  <w:num w:numId="177">
    <w:abstractNumId w:val="179"/>
  </w:num>
  <w:num w:numId="178">
    <w:abstractNumId w:val="203"/>
  </w:num>
  <w:num w:numId="179">
    <w:abstractNumId w:val="80"/>
  </w:num>
  <w:num w:numId="180">
    <w:abstractNumId w:val="58"/>
  </w:num>
  <w:num w:numId="181">
    <w:abstractNumId w:val="209"/>
  </w:num>
  <w:num w:numId="182">
    <w:abstractNumId w:val="112"/>
  </w:num>
  <w:num w:numId="183">
    <w:abstractNumId w:val="140"/>
  </w:num>
  <w:num w:numId="184">
    <w:abstractNumId w:val="5"/>
  </w:num>
  <w:num w:numId="185">
    <w:abstractNumId w:val="198"/>
  </w:num>
  <w:num w:numId="186">
    <w:abstractNumId w:val="70"/>
  </w:num>
  <w:num w:numId="187">
    <w:abstractNumId w:val="106"/>
  </w:num>
  <w:num w:numId="188">
    <w:abstractNumId w:val="216"/>
  </w:num>
  <w:num w:numId="189">
    <w:abstractNumId w:val="10"/>
  </w:num>
  <w:num w:numId="190">
    <w:abstractNumId w:val="170"/>
  </w:num>
  <w:num w:numId="191">
    <w:abstractNumId w:val="208"/>
  </w:num>
  <w:num w:numId="192">
    <w:abstractNumId w:val="33"/>
  </w:num>
  <w:num w:numId="193">
    <w:abstractNumId w:val="45"/>
  </w:num>
  <w:num w:numId="194">
    <w:abstractNumId w:val="146"/>
  </w:num>
  <w:num w:numId="195">
    <w:abstractNumId w:val="126"/>
  </w:num>
  <w:num w:numId="196">
    <w:abstractNumId w:val="122"/>
  </w:num>
  <w:num w:numId="197">
    <w:abstractNumId w:val="202"/>
  </w:num>
  <w:num w:numId="198">
    <w:abstractNumId w:val="129"/>
  </w:num>
  <w:num w:numId="199">
    <w:abstractNumId w:val="79"/>
  </w:num>
  <w:num w:numId="200">
    <w:abstractNumId w:val="3"/>
  </w:num>
  <w:num w:numId="201">
    <w:abstractNumId w:val="174"/>
  </w:num>
  <w:num w:numId="202">
    <w:abstractNumId w:val="25"/>
  </w:num>
  <w:num w:numId="203">
    <w:abstractNumId w:val="213"/>
  </w:num>
  <w:num w:numId="204">
    <w:abstractNumId w:val="97"/>
  </w:num>
  <w:num w:numId="205">
    <w:abstractNumId w:val="222"/>
  </w:num>
  <w:num w:numId="206">
    <w:abstractNumId w:val="85"/>
  </w:num>
  <w:num w:numId="207">
    <w:abstractNumId w:val="130"/>
  </w:num>
  <w:num w:numId="208">
    <w:abstractNumId w:val="62"/>
  </w:num>
  <w:num w:numId="209">
    <w:abstractNumId w:val="182"/>
  </w:num>
  <w:num w:numId="210">
    <w:abstractNumId w:val="61"/>
  </w:num>
  <w:num w:numId="211">
    <w:abstractNumId w:val="219"/>
  </w:num>
  <w:num w:numId="212">
    <w:abstractNumId w:val="217"/>
  </w:num>
  <w:num w:numId="213">
    <w:abstractNumId w:val="141"/>
  </w:num>
  <w:num w:numId="214">
    <w:abstractNumId w:val="116"/>
  </w:num>
  <w:num w:numId="215">
    <w:abstractNumId w:val="123"/>
  </w:num>
  <w:num w:numId="216">
    <w:abstractNumId w:val="41"/>
  </w:num>
  <w:num w:numId="217">
    <w:abstractNumId w:val="177"/>
  </w:num>
  <w:num w:numId="218">
    <w:abstractNumId w:val="82"/>
  </w:num>
  <w:num w:numId="219">
    <w:abstractNumId w:val="173"/>
  </w:num>
  <w:num w:numId="220">
    <w:abstractNumId w:val="66"/>
  </w:num>
  <w:num w:numId="221">
    <w:abstractNumId w:val="114"/>
  </w:num>
  <w:num w:numId="222">
    <w:abstractNumId w:val="17"/>
  </w:num>
  <w:num w:numId="223">
    <w:abstractNumId w:val="9"/>
  </w:num>
  <w:num w:numId="224">
    <w:abstractNumId w:val="152"/>
  </w:num>
  <w:num w:numId="225">
    <w:abstractNumId w:val="13"/>
  </w:num>
  <w:num w:numId="226">
    <w:abstractNumId w:val="105"/>
  </w:num>
  <w:num w:numId="227">
    <w:abstractNumId w:val="115"/>
  </w:num>
  <w:num w:numId="228">
    <w:abstractNumId w:val="132"/>
  </w:num>
  <w:num w:numId="229">
    <w:abstractNumId w:val="166"/>
  </w:num>
  <w:num w:numId="230">
    <w:abstractNumId w:val="48"/>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07"/>
    <w:rsid w:val="000133C1"/>
    <w:rsid w:val="00031073"/>
    <w:rsid w:val="0005201C"/>
    <w:rsid w:val="0006560F"/>
    <w:rsid w:val="000661BB"/>
    <w:rsid w:val="000720DE"/>
    <w:rsid w:val="00080975"/>
    <w:rsid w:val="00097330"/>
    <w:rsid w:val="000A469E"/>
    <w:rsid w:val="000A6587"/>
    <w:rsid w:val="000B046F"/>
    <w:rsid w:val="000B3313"/>
    <w:rsid w:val="000B3B77"/>
    <w:rsid w:val="000C0A6A"/>
    <w:rsid w:val="000D3242"/>
    <w:rsid w:val="001113B8"/>
    <w:rsid w:val="00151E3B"/>
    <w:rsid w:val="0019561D"/>
    <w:rsid w:val="001C31E5"/>
    <w:rsid w:val="001D079B"/>
    <w:rsid w:val="001D284A"/>
    <w:rsid w:val="001D469F"/>
    <w:rsid w:val="001E0902"/>
    <w:rsid w:val="001E3DB9"/>
    <w:rsid w:val="001F5083"/>
    <w:rsid w:val="001F5266"/>
    <w:rsid w:val="00204F4F"/>
    <w:rsid w:val="00225777"/>
    <w:rsid w:val="00235371"/>
    <w:rsid w:val="002732AF"/>
    <w:rsid w:val="00273B60"/>
    <w:rsid w:val="00276A7C"/>
    <w:rsid w:val="0028635F"/>
    <w:rsid w:val="00294777"/>
    <w:rsid w:val="002A26CF"/>
    <w:rsid w:val="002C1DFB"/>
    <w:rsid w:val="002E32FD"/>
    <w:rsid w:val="002F70CB"/>
    <w:rsid w:val="003022C4"/>
    <w:rsid w:val="00323142"/>
    <w:rsid w:val="003338C2"/>
    <w:rsid w:val="00353E3D"/>
    <w:rsid w:val="00360179"/>
    <w:rsid w:val="003A1C6B"/>
    <w:rsid w:val="003A6C88"/>
    <w:rsid w:val="003B086B"/>
    <w:rsid w:val="003C1ED5"/>
    <w:rsid w:val="003C3236"/>
    <w:rsid w:val="003D65CE"/>
    <w:rsid w:val="003E331A"/>
    <w:rsid w:val="003E3937"/>
    <w:rsid w:val="0040604D"/>
    <w:rsid w:val="00410D09"/>
    <w:rsid w:val="00425FA7"/>
    <w:rsid w:val="0042725F"/>
    <w:rsid w:val="004466F8"/>
    <w:rsid w:val="0047425A"/>
    <w:rsid w:val="004A3E9D"/>
    <w:rsid w:val="004B0F40"/>
    <w:rsid w:val="004C76EF"/>
    <w:rsid w:val="004D73E3"/>
    <w:rsid w:val="0050552C"/>
    <w:rsid w:val="00521567"/>
    <w:rsid w:val="00523F72"/>
    <w:rsid w:val="00536CB0"/>
    <w:rsid w:val="00544D38"/>
    <w:rsid w:val="005616CF"/>
    <w:rsid w:val="005673A9"/>
    <w:rsid w:val="00567A69"/>
    <w:rsid w:val="00580533"/>
    <w:rsid w:val="00580F66"/>
    <w:rsid w:val="00592476"/>
    <w:rsid w:val="005A050A"/>
    <w:rsid w:val="005D1A05"/>
    <w:rsid w:val="005D744A"/>
    <w:rsid w:val="005E43BA"/>
    <w:rsid w:val="005F1AB9"/>
    <w:rsid w:val="005F2E0F"/>
    <w:rsid w:val="006138B1"/>
    <w:rsid w:val="006156E9"/>
    <w:rsid w:val="00624885"/>
    <w:rsid w:val="006515B9"/>
    <w:rsid w:val="006A5553"/>
    <w:rsid w:val="006B4E41"/>
    <w:rsid w:val="006C1C64"/>
    <w:rsid w:val="006D25E6"/>
    <w:rsid w:val="006D7345"/>
    <w:rsid w:val="00747820"/>
    <w:rsid w:val="007505C9"/>
    <w:rsid w:val="007571D5"/>
    <w:rsid w:val="00776A99"/>
    <w:rsid w:val="00781087"/>
    <w:rsid w:val="007856A2"/>
    <w:rsid w:val="007B161A"/>
    <w:rsid w:val="007C3698"/>
    <w:rsid w:val="007D6795"/>
    <w:rsid w:val="007E7A30"/>
    <w:rsid w:val="007F54A3"/>
    <w:rsid w:val="00816F9B"/>
    <w:rsid w:val="008258D7"/>
    <w:rsid w:val="00841FAC"/>
    <w:rsid w:val="008515F5"/>
    <w:rsid w:val="008775AE"/>
    <w:rsid w:val="00882064"/>
    <w:rsid w:val="0089264E"/>
    <w:rsid w:val="00893CC2"/>
    <w:rsid w:val="008B7A9B"/>
    <w:rsid w:val="008C1317"/>
    <w:rsid w:val="008D6A4C"/>
    <w:rsid w:val="008E6538"/>
    <w:rsid w:val="008F1B81"/>
    <w:rsid w:val="0091379D"/>
    <w:rsid w:val="009153C2"/>
    <w:rsid w:val="00915490"/>
    <w:rsid w:val="00931E34"/>
    <w:rsid w:val="009471A5"/>
    <w:rsid w:val="0095724A"/>
    <w:rsid w:val="00964070"/>
    <w:rsid w:val="00972202"/>
    <w:rsid w:val="00992574"/>
    <w:rsid w:val="009E1273"/>
    <w:rsid w:val="00A04473"/>
    <w:rsid w:val="00A0771B"/>
    <w:rsid w:val="00A2271D"/>
    <w:rsid w:val="00A245A6"/>
    <w:rsid w:val="00A263FB"/>
    <w:rsid w:val="00A66B62"/>
    <w:rsid w:val="00A72C69"/>
    <w:rsid w:val="00A74DD7"/>
    <w:rsid w:val="00A755EB"/>
    <w:rsid w:val="00A8423D"/>
    <w:rsid w:val="00B02C5E"/>
    <w:rsid w:val="00B05C8B"/>
    <w:rsid w:val="00B15D92"/>
    <w:rsid w:val="00B21C73"/>
    <w:rsid w:val="00B327A5"/>
    <w:rsid w:val="00B46F48"/>
    <w:rsid w:val="00B5450E"/>
    <w:rsid w:val="00B559BA"/>
    <w:rsid w:val="00B92AE2"/>
    <w:rsid w:val="00BA3298"/>
    <w:rsid w:val="00BA5395"/>
    <w:rsid w:val="00BC2819"/>
    <w:rsid w:val="00BD6CD9"/>
    <w:rsid w:val="00BF10BB"/>
    <w:rsid w:val="00C66BC7"/>
    <w:rsid w:val="00C67A8B"/>
    <w:rsid w:val="00C75E21"/>
    <w:rsid w:val="00C91EE4"/>
    <w:rsid w:val="00CC70F1"/>
    <w:rsid w:val="00CF5671"/>
    <w:rsid w:val="00D46FCF"/>
    <w:rsid w:val="00DA2254"/>
    <w:rsid w:val="00DD0212"/>
    <w:rsid w:val="00E06D99"/>
    <w:rsid w:val="00E122DC"/>
    <w:rsid w:val="00E3054D"/>
    <w:rsid w:val="00E4312A"/>
    <w:rsid w:val="00E45838"/>
    <w:rsid w:val="00E535BD"/>
    <w:rsid w:val="00E638A5"/>
    <w:rsid w:val="00E82DE9"/>
    <w:rsid w:val="00E93BEA"/>
    <w:rsid w:val="00E95C85"/>
    <w:rsid w:val="00EA6C58"/>
    <w:rsid w:val="00EC6F79"/>
    <w:rsid w:val="00ED7CC5"/>
    <w:rsid w:val="00F05307"/>
    <w:rsid w:val="00F119D2"/>
    <w:rsid w:val="00F33405"/>
    <w:rsid w:val="00F76BF3"/>
    <w:rsid w:val="00F92A5B"/>
    <w:rsid w:val="00FA0612"/>
    <w:rsid w:val="00FA4DCB"/>
    <w:rsid w:val="00FA6CAA"/>
    <w:rsid w:val="00FB2F48"/>
    <w:rsid w:val="00FC4C44"/>
    <w:rsid w:val="00FC4EDA"/>
    <w:rsid w:val="00FC740F"/>
    <w:rsid w:val="00FE45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FA9780-FD31-41B5-9D40-DDC1A9BA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C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56E9"/>
    <w:pPr>
      <w:widowControl w:val="0"/>
      <w:autoSpaceDE w:val="0"/>
      <w:autoSpaceDN w:val="0"/>
      <w:adjustRightInd w:val="0"/>
    </w:pPr>
    <w:rPr>
      <w:rFonts w:ascii="新細明體" w:eastAsia="新細明體" w:hAnsi="Times New Roman" w:cs="新細明體"/>
      <w:color w:val="000000"/>
      <w:kern w:val="0"/>
      <w:szCs w:val="24"/>
    </w:rPr>
  </w:style>
  <w:style w:type="paragraph" w:styleId="a3">
    <w:name w:val="List Paragraph"/>
    <w:basedOn w:val="a"/>
    <w:uiPriority w:val="99"/>
    <w:qFormat/>
    <w:rsid w:val="00592476"/>
    <w:pPr>
      <w:ind w:leftChars="200" w:left="480"/>
    </w:pPr>
  </w:style>
  <w:style w:type="paragraph" w:styleId="a4">
    <w:name w:val="header"/>
    <w:basedOn w:val="a"/>
    <w:link w:val="a5"/>
    <w:unhideWhenUsed/>
    <w:rsid w:val="003A1C6B"/>
    <w:pPr>
      <w:tabs>
        <w:tab w:val="center" w:pos="4153"/>
        <w:tab w:val="right" w:pos="8306"/>
      </w:tabs>
      <w:snapToGrid w:val="0"/>
    </w:pPr>
    <w:rPr>
      <w:sz w:val="20"/>
      <w:szCs w:val="20"/>
    </w:rPr>
  </w:style>
  <w:style w:type="character" w:customStyle="1" w:styleId="a5">
    <w:name w:val="頁首 字元"/>
    <w:basedOn w:val="a0"/>
    <w:link w:val="a4"/>
    <w:rsid w:val="003A1C6B"/>
    <w:rPr>
      <w:rFonts w:ascii="Times New Roman" w:eastAsia="新細明體" w:hAnsi="Times New Roman" w:cs="Times New Roman"/>
      <w:sz w:val="20"/>
      <w:szCs w:val="20"/>
    </w:rPr>
  </w:style>
  <w:style w:type="paragraph" w:styleId="a6">
    <w:name w:val="footer"/>
    <w:basedOn w:val="a"/>
    <w:link w:val="a7"/>
    <w:uiPriority w:val="99"/>
    <w:unhideWhenUsed/>
    <w:rsid w:val="003A1C6B"/>
    <w:pPr>
      <w:tabs>
        <w:tab w:val="center" w:pos="4153"/>
        <w:tab w:val="right" w:pos="8306"/>
      </w:tabs>
      <w:snapToGrid w:val="0"/>
    </w:pPr>
    <w:rPr>
      <w:sz w:val="20"/>
      <w:szCs w:val="20"/>
    </w:rPr>
  </w:style>
  <w:style w:type="character" w:customStyle="1" w:styleId="a7">
    <w:name w:val="頁尾 字元"/>
    <w:basedOn w:val="a0"/>
    <w:link w:val="a6"/>
    <w:uiPriority w:val="99"/>
    <w:rsid w:val="003A1C6B"/>
    <w:rPr>
      <w:rFonts w:ascii="Times New Roman" w:eastAsia="新細明體" w:hAnsi="Times New Roman" w:cs="Times New Roman"/>
      <w:sz w:val="20"/>
      <w:szCs w:val="20"/>
    </w:rPr>
  </w:style>
  <w:style w:type="character" w:styleId="a8">
    <w:name w:val="annotation reference"/>
    <w:basedOn w:val="a0"/>
    <w:uiPriority w:val="99"/>
    <w:semiHidden/>
    <w:unhideWhenUsed/>
    <w:rsid w:val="00080975"/>
    <w:rPr>
      <w:sz w:val="18"/>
      <w:szCs w:val="18"/>
    </w:rPr>
  </w:style>
  <w:style w:type="paragraph" w:styleId="a9">
    <w:name w:val="annotation text"/>
    <w:basedOn w:val="a"/>
    <w:link w:val="aa"/>
    <w:uiPriority w:val="99"/>
    <w:semiHidden/>
    <w:unhideWhenUsed/>
    <w:rsid w:val="00080975"/>
  </w:style>
  <w:style w:type="character" w:customStyle="1" w:styleId="aa">
    <w:name w:val="註解文字 字元"/>
    <w:basedOn w:val="a0"/>
    <w:link w:val="a9"/>
    <w:uiPriority w:val="99"/>
    <w:semiHidden/>
    <w:rsid w:val="00080975"/>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080975"/>
    <w:rPr>
      <w:b/>
      <w:bCs/>
    </w:rPr>
  </w:style>
  <w:style w:type="character" w:customStyle="1" w:styleId="ac">
    <w:name w:val="註解主旨 字元"/>
    <w:basedOn w:val="aa"/>
    <w:link w:val="ab"/>
    <w:uiPriority w:val="99"/>
    <w:semiHidden/>
    <w:rsid w:val="00080975"/>
    <w:rPr>
      <w:rFonts w:ascii="Times New Roman" w:eastAsia="新細明體" w:hAnsi="Times New Roman" w:cs="Times New Roman"/>
      <w:b/>
      <w:bCs/>
      <w:szCs w:val="24"/>
    </w:rPr>
  </w:style>
  <w:style w:type="paragraph" w:styleId="ad">
    <w:name w:val="Balloon Text"/>
    <w:basedOn w:val="a"/>
    <w:link w:val="ae"/>
    <w:uiPriority w:val="99"/>
    <w:semiHidden/>
    <w:unhideWhenUsed/>
    <w:rsid w:val="0008097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80975"/>
    <w:rPr>
      <w:rFonts w:asciiTheme="majorHAnsi" w:eastAsiaTheme="majorEastAsia" w:hAnsiTheme="majorHAnsi" w:cstheme="majorBidi"/>
      <w:sz w:val="18"/>
      <w:szCs w:val="18"/>
    </w:rPr>
  </w:style>
  <w:style w:type="paragraph" w:customStyle="1" w:styleId="1">
    <w:name w:val="清單段落1"/>
    <w:basedOn w:val="a"/>
    <w:rsid w:val="00BD6CD9"/>
    <w:pPr>
      <w:ind w:leftChars="200" w:left="480"/>
    </w:pPr>
  </w:style>
  <w:style w:type="character" w:styleId="af">
    <w:name w:val="page number"/>
    <w:uiPriority w:val="99"/>
    <w:rsid w:val="000A469E"/>
    <w:rPr>
      <w:rFonts w:cs="Times New Roman"/>
    </w:rPr>
  </w:style>
  <w:style w:type="paragraph" w:styleId="2">
    <w:name w:val="toc 2"/>
    <w:basedOn w:val="a"/>
    <w:next w:val="a"/>
    <w:autoRedefine/>
    <w:uiPriority w:val="39"/>
    <w:unhideWhenUsed/>
    <w:rsid w:val="000A469E"/>
    <w:pPr>
      <w:ind w:leftChars="200" w:left="480"/>
    </w:pPr>
  </w:style>
  <w:style w:type="paragraph" w:styleId="10">
    <w:name w:val="toc 1"/>
    <w:basedOn w:val="a"/>
    <w:next w:val="a"/>
    <w:autoRedefine/>
    <w:uiPriority w:val="39"/>
    <w:unhideWhenUsed/>
    <w:rsid w:val="000A469E"/>
  </w:style>
  <w:style w:type="character" w:styleId="af0">
    <w:name w:val="Hyperlink"/>
    <w:basedOn w:val="a0"/>
    <w:uiPriority w:val="99"/>
    <w:unhideWhenUsed/>
    <w:rsid w:val="000A469E"/>
    <w:rPr>
      <w:color w:val="0563C1" w:themeColor="hyperlink"/>
      <w:u w:val="single"/>
    </w:rPr>
  </w:style>
  <w:style w:type="paragraph" w:customStyle="1" w:styleId="af1">
    <w:name w:val="壹目"/>
    <w:basedOn w:val="a"/>
    <w:rsid w:val="00521567"/>
    <w:pPr>
      <w:tabs>
        <w:tab w:val="right" w:leader="middleDot" w:pos="9000"/>
      </w:tabs>
      <w:adjustRightInd w:val="0"/>
      <w:spacing w:before="120" w:after="120"/>
      <w:textAlignment w:val="baseline"/>
      <w:outlineLvl w:val="0"/>
    </w:pPr>
    <w:rPr>
      <w:rFonts w:ascii="華康楷書體W5" w:eastAsia="華康楷書體W5" w:hAnsi="CG Times"/>
      <w:b/>
      <w:kern w:val="0"/>
      <w:sz w:val="32"/>
      <w:szCs w:val="20"/>
    </w:rPr>
  </w:style>
  <w:style w:type="paragraph" w:styleId="11">
    <w:name w:val="index 1"/>
    <w:basedOn w:val="a"/>
    <w:next w:val="a"/>
    <w:autoRedefine/>
    <w:semiHidden/>
    <w:rsid w:val="00521567"/>
    <w:pPr>
      <w:snapToGrid w:val="0"/>
      <w:ind w:left="300" w:hanging="300"/>
    </w:pPr>
    <w:rPr>
      <w:rFonts w:ascii="新細明體" w:hAnsi="新細明體"/>
      <w:sz w:val="20"/>
      <w:szCs w:val="20"/>
    </w:rPr>
  </w:style>
  <w:style w:type="paragraph" w:customStyle="1" w:styleId="msolistparagraph0">
    <w:name w:val="msolistparagraph"/>
    <w:basedOn w:val="a"/>
    <w:rsid w:val="00521567"/>
    <w:pPr>
      <w:ind w:leftChars="200" w:left="200"/>
    </w:pPr>
  </w:style>
  <w:style w:type="character" w:styleId="af2">
    <w:name w:val="Subtle Emphasis"/>
    <w:uiPriority w:val="19"/>
    <w:qFormat/>
    <w:rsid w:val="00A263FB"/>
    <w:rPr>
      <w:i/>
      <w:iCs/>
      <w:color w:val="404040"/>
    </w:rPr>
  </w:style>
  <w:style w:type="paragraph" w:styleId="Web">
    <w:name w:val="Normal (Web)"/>
    <w:basedOn w:val="a"/>
    <w:rsid w:val="003338C2"/>
    <w:pPr>
      <w:widowControl/>
      <w:spacing w:before="100" w:beforeAutospacing="1" w:after="100" w:afterAutospacing="1"/>
    </w:pPr>
    <w:rPr>
      <w:rFonts w:ascii="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100859">
      <w:bodyDiv w:val="1"/>
      <w:marLeft w:val="0"/>
      <w:marRight w:val="0"/>
      <w:marTop w:val="0"/>
      <w:marBottom w:val="0"/>
      <w:divBdr>
        <w:top w:val="none" w:sz="0" w:space="0" w:color="auto"/>
        <w:left w:val="none" w:sz="0" w:space="0" w:color="auto"/>
        <w:bottom w:val="none" w:sz="0" w:space="0" w:color="auto"/>
        <w:right w:val="none" w:sz="0" w:space="0" w:color="auto"/>
      </w:divBdr>
    </w:div>
    <w:div w:id="182781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33C09-4367-422D-ABB7-D39C1DEA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5</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黃惠美</cp:lastModifiedBy>
  <cp:revision>91</cp:revision>
  <cp:lastPrinted>2019-01-17T02:03:00Z</cp:lastPrinted>
  <dcterms:created xsi:type="dcterms:W3CDTF">2019-01-14T02:04:00Z</dcterms:created>
  <dcterms:modified xsi:type="dcterms:W3CDTF">2019-01-17T05:49:00Z</dcterms:modified>
</cp:coreProperties>
</file>