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57BEE" w14:textId="36FFC314" w:rsidR="00BD08FC" w:rsidRPr="00E826AD" w:rsidRDefault="00E826AD">
      <w:pPr>
        <w:rPr>
          <w:rFonts w:ascii="標楷體" w:eastAsia="標楷體" w:hAnsi="標楷體"/>
        </w:rPr>
      </w:pPr>
      <w:r w:rsidRPr="00E826AD">
        <w:rPr>
          <w:rFonts w:ascii="標楷體" w:eastAsia="標楷體" w:hAnsi="標楷體" w:hint="eastAsia"/>
        </w:rPr>
        <w:t>附件2</w:t>
      </w:r>
      <w:bookmarkStart w:id="0" w:name="_GoBack"/>
      <w:bookmarkEnd w:id="0"/>
    </w:p>
    <w:tbl>
      <w:tblPr>
        <w:tblStyle w:val="a3"/>
        <w:tblW w:w="0" w:type="auto"/>
        <w:tblLook w:val="04A0" w:firstRow="1" w:lastRow="0" w:firstColumn="1" w:lastColumn="0" w:noHBand="0" w:noVBand="1"/>
      </w:tblPr>
      <w:tblGrid>
        <w:gridCol w:w="1696"/>
        <w:gridCol w:w="2127"/>
        <w:gridCol w:w="992"/>
        <w:gridCol w:w="3481"/>
      </w:tblGrid>
      <w:tr w:rsidR="008A49A9" w14:paraId="20B6FE64" w14:textId="77777777" w:rsidTr="00C971BE">
        <w:tc>
          <w:tcPr>
            <w:tcW w:w="8296" w:type="dxa"/>
            <w:gridSpan w:val="4"/>
          </w:tcPr>
          <w:p w14:paraId="0154791D" w14:textId="139E7EE3" w:rsidR="008A49A9" w:rsidRPr="00E826AD" w:rsidRDefault="008A49A9" w:rsidP="008A49A9">
            <w:pPr>
              <w:jc w:val="distribute"/>
              <w:rPr>
                <w:rFonts w:ascii="標楷體" w:eastAsia="標楷體" w:hAnsi="標楷體"/>
                <w:b/>
                <w:bCs/>
                <w:sz w:val="32"/>
                <w:szCs w:val="28"/>
              </w:rPr>
            </w:pPr>
            <w:r w:rsidRPr="00E826AD">
              <w:rPr>
                <w:rFonts w:ascii="標楷體" w:eastAsia="標楷體" w:hAnsi="標楷體" w:hint="eastAsia"/>
                <w:b/>
                <w:bCs/>
                <w:sz w:val="32"/>
                <w:szCs w:val="28"/>
              </w:rPr>
              <w:t>金門縣消防局違反消防法案件申請</w:t>
            </w:r>
            <w:proofErr w:type="gramStart"/>
            <w:r w:rsidRPr="00E826AD">
              <w:rPr>
                <w:rFonts w:ascii="標楷體" w:eastAsia="標楷體" w:hAnsi="標楷體" w:hint="eastAsia"/>
                <w:b/>
                <w:bCs/>
                <w:sz w:val="32"/>
                <w:szCs w:val="28"/>
              </w:rPr>
              <w:t>展延日數</w:t>
            </w:r>
            <w:proofErr w:type="gramEnd"/>
            <w:r w:rsidRPr="00E826AD">
              <w:rPr>
                <w:rFonts w:ascii="標楷體" w:eastAsia="標楷體" w:hAnsi="標楷體" w:hint="eastAsia"/>
                <w:b/>
                <w:bCs/>
                <w:sz w:val="32"/>
                <w:szCs w:val="28"/>
              </w:rPr>
              <w:t>一覽表</w:t>
            </w:r>
          </w:p>
        </w:tc>
      </w:tr>
      <w:tr w:rsidR="008A49A9" w14:paraId="183F637D" w14:textId="77777777" w:rsidTr="00E826AD">
        <w:tc>
          <w:tcPr>
            <w:tcW w:w="3823" w:type="dxa"/>
            <w:gridSpan w:val="2"/>
            <w:vAlign w:val="center"/>
          </w:tcPr>
          <w:p w14:paraId="274A064B" w14:textId="3F6AB461" w:rsidR="008A49A9" w:rsidRPr="008A49A9" w:rsidRDefault="008A49A9" w:rsidP="00E826AD">
            <w:pPr>
              <w:jc w:val="center"/>
              <w:rPr>
                <w:rFonts w:ascii="標楷體" w:eastAsia="標楷體" w:hAnsi="標楷體"/>
              </w:rPr>
            </w:pPr>
            <w:r w:rsidRPr="008A49A9">
              <w:rPr>
                <w:rFonts w:ascii="標楷體" w:eastAsia="標楷體" w:hAnsi="標楷體" w:hint="eastAsia"/>
              </w:rPr>
              <w:t>限期改善審查項目</w:t>
            </w:r>
          </w:p>
        </w:tc>
        <w:tc>
          <w:tcPr>
            <w:tcW w:w="992" w:type="dxa"/>
          </w:tcPr>
          <w:p w14:paraId="5DE0208E" w14:textId="1BC81644" w:rsidR="008A49A9" w:rsidRPr="008A49A9" w:rsidRDefault="008A49A9">
            <w:pPr>
              <w:rPr>
                <w:rFonts w:ascii="標楷體" w:eastAsia="標楷體" w:hAnsi="標楷體"/>
              </w:rPr>
            </w:pPr>
            <w:r w:rsidRPr="008A49A9">
              <w:rPr>
                <w:rFonts w:ascii="標楷體" w:eastAsia="標楷體" w:hAnsi="標楷體"/>
              </w:rPr>
              <w:t>核</w:t>
            </w:r>
            <w:proofErr w:type="gramStart"/>
            <w:r w:rsidRPr="008A49A9">
              <w:rPr>
                <w:rFonts w:ascii="標楷體" w:eastAsia="標楷體" w:hAnsi="標楷體"/>
              </w:rPr>
              <w:t>予展延日數</w:t>
            </w:r>
            <w:proofErr w:type="gramEnd"/>
          </w:p>
        </w:tc>
        <w:tc>
          <w:tcPr>
            <w:tcW w:w="3481" w:type="dxa"/>
            <w:vAlign w:val="center"/>
          </w:tcPr>
          <w:p w14:paraId="7A4DDDB5" w14:textId="2F5961E9" w:rsidR="008A49A9" w:rsidRPr="008A49A9" w:rsidRDefault="008A49A9" w:rsidP="00E826AD">
            <w:pPr>
              <w:jc w:val="center"/>
              <w:rPr>
                <w:rFonts w:ascii="標楷體" w:eastAsia="標楷體" w:hAnsi="標楷體"/>
              </w:rPr>
            </w:pPr>
            <w:r w:rsidRPr="008A49A9">
              <w:rPr>
                <w:rFonts w:ascii="標楷體" w:eastAsia="標楷體" w:hAnsi="標楷體" w:hint="eastAsia"/>
              </w:rPr>
              <w:t>備註</w:t>
            </w:r>
          </w:p>
        </w:tc>
      </w:tr>
      <w:tr w:rsidR="008A49A9" w14:paraId="232EC830" w14:textId="77777777" w:rsidTr="008A49A9">
        <w:tc>
          <w:tcPr>
            <w:tcW w:w="1696" w:type="dxa"/>
            <w:vMerge w:val="restart"/>
            <w:vAlign w:val="center"/>
          </w:tcPr>
          <w:p w14:paraId="52D87A44" w14:textId="1922C076" w:rsidR="008A49A9" w:rsidRPr="008A49A9" w:rsidRDefault="008A49A9" w:rsidP="008A49A9">
            <w:pPr>
              <w:jc w:val="center"/>
              <w:rPr>
                <w:rFonts w:ascii="標楷體" w:eastAsia="標楷體" w:hAnsi="標楷體"/>
              </w:rPr>
            </w:pPr>
            <w:r w:rsidRPr="008A49A9">
              <w:rPr>
                <w:rFonts w:ascii="標楷體" w:eastAsia="標楷體" w:hAnsi="標楷體"/>
              </w:rPr>
              <w:t>限期改善通知單檢查事項</w:t>
            </w:r>
          </w:p>
        </w:tc>
        <w:tc>
          <w:tcPr>
            <w:tcW w:w="2127" w:type="dxa"/>
            <w:vAlign w:val="center"/>
          </w:tcPr>
          <w:p w14:paraId="1D2C2407" w14:textId="77777777" w:rsidR="008A49A9" w:rsidRPr="008A49A9" w:rsidRDefault="008A49A9" w:rsidP="008A49A9">
            <w:pPr>
              <w:jc w:val="center"/>
              <w:rPr>
                <w:rFonts w:ascii="標楷體" w:eastAsia="標楷體" w:hAnsi="標楷體"/>
              </w:rPr>
            </w:pPr>
            <w:r w:rsidRPr="008A49A9">
              <w:rPr>
                <w:rFonts w:ascii="標楷體" w:eastAsia="標楷體" w:hAnsi="標楷體" w:hint="eastAsia"/>
              </w:rPr>
              <w:t>缺</w:t>
            </w:r>
            <w:r w:rsidRPr="008A49A9">
              <w:rPr>
                <w:rFonts w:ascii="標楷體" w:eastAsia="標楷體" w:hAnsi="標楷體"/>
              </w:rPr>
              <w:t>失為1項</w:t>
            </w:r>
          </w:p>
          <w:p w14:paraId="602C0ED0" w14:textId="63285405" w:rsidR="008A49A9" w:rsidRPr="008A49A9" w:rsidRDefault="008A49A9" w:rsidP="008A49A9">
            <w:pPr>
              <w:jc w:val="center"/>
              <w:rPr>
                <w:rFonts w:ascii="標楷體" w:eastAsia="標楷體" w:hAnsi="標楷體"/>
              </w:rPr>
            </w:pPr>
            <w:r w:rsidRPr="008A49A9">
              <w:rPr>
                <w:rFonts w:ascii="標楷體" w:eastAsia="標楷體" w:hAnsi="標楷體"/>
              </w:rPr>
              <w:t>系統設備</w:t>
            </w:r>
          </w:p>
        </w:tc>
        <w:tc>
          <w:tcPr>
            <w:tcW w:w="992" w:type="dxa"/>
            <w:vAlign w:val="center"/>
          </w:tcPr>
          <w:p w14:paraId="55D763F6" w14:textId="5CF00FE9" w:rsidR="008A49A9" w:rsidRPr="008A49A9" w:rsidRDefault="008A49A9" w:rsidP="008A49A9">
            <w:pPr>
              <w:jc w:val="center"/>
              <w:rPr>
                <w:rFonts w:ascii="標楷體" w:eastAsia="標楷體" w:hAnsi="標楷體"/>
              </w:rPr>
            </w:pPr>
            <w:r w:rsidRPr="008A49A9">
              <w:rPr>
                <w:rFonts w:ascii="標楷體" w:eastAsia="標楷體" w:hAnsi="標楷體" w:hint="eastAsia"/>
              </w:rPr>
              <w:t>45日</w:t>
            </w:r>
          </w:p>
        </w:tc>
        <w:tc>
          <w:tcPr>
            <w:tcW w:w="3481" w:type="dxa"/>
            <w:vMerge w:val="restart"/>
          </w:tcPr>
          <w:p w14:paraId="4CABF210" w14:textId="5000331F" w:rsidR="008A49A9" w:rsidRPr="008A49A9" w:rsidRDefault="008A49A9" w:rsidP="008A49A9">
            <w:pPr>
              <w:rPr>
                <w:rFonts w:ascii="標楷體" w:eastAsia="標楷體" w:hAnsi="標楷體"/>
              </w:rPr>
            </w:pPr>
            <w:r>
              <w:rPr>
                <w:rFonts w:ascii="標楷體" w:eastAsia="標楷體" w:hAnsi="標楷體" w:hint="eastAsia"/>
              </w:rPr>
              <w:t>下</w:t>
            </w:r>
            <w:r w:rsidRPr="008A49A9">
              <w:rPr>
                <w:rFonts w:ascii="標楷體" w:eastAsia="標楷體" w:hAnsi="標楷體" w:hint="eastAsia"/>
              </w:rPr>
              <w:t>列系統設備如未設、拆除、損壞或功能</w:t>
            </w:r>
            <w:proofErr w:type="gramStart"/>
            <w:r w:rsidRPr="008A49A9">
              <w:rPr>
                <w:rFonts w:ascii="標楷體" w:eastAsia="標楷體" w:hAnsi="標楷體" w:hint="eastAsia"/>
              </w:rPr>
              <w:t>不</w:t>
            </w:r>
            <w:proofErr w:type="gramEnd"/>
            <w:r w:rsidRPr="008A49A9">
              <w:rPr>
                <w:rFonts w:ascii="標楷體" w:eastAsia="標楷體" w:hAnsi="標楷體" w:hint="eastAsia"/>
              </w:rPr>
              <w:t>彰等情形，依其違反程度，參酌個案實質情形予以適當改善期限：</w:t>
            </w:r>
          </w:p>
          <w:p w14:paraId="53FB568E" w14:textId="51C6B176" w:rsidR="008A49A9" w:rsidRPr="008A49A9" w:rsidRDefault="008A49A9" w:rsidP="008A49A9">
            <w:pPr>
              <w:ind w:left="480" w:hangingChars="200" w:hanging="480"/>
              <w:rPr>
                <w:rFonts w:ascii="標楷體" w:eastAsia="標楷體" w:hAnsi="標楷體"/>
              </w:rPr>
            </w:pPr>
            <w:r w:rsidRPr="008A49A9">
              <w:rPr>
                <w:rFonts w:ascii="標楷體" w:eastAsia="標楷體" w:hAnsi="標楷體" w:hint="eastAsia"/>
              </w:rPr>
              <w:t>一、滅火設備：室內（外）消防栓設備、自動撒水設備（含送水口、水道連結型自動撒水設備）、水霧滅火設備、泡沫滅火設備、二氧化碳滅火設備（固定式或移動式）、乾粉滅火設備（固定式或移動式）、簡易自動滅火設備</w:t>
            </w:r>
            <w:r w:rsidR="00E826AD">
              <w:rPr>
                <w:rFonts w:ascii="標楷體" w:eastAsia="標楷體" w:hAnsi="標楷體" w:hint="eastAsia"/>
              </w:rPr>
              <w:t>。</w:t>
            </w:r>
          </w:p>
          <w:p w14:paraId="2515D59B" w14:textId="7682D9BA" w:rsidR="008A49A9" w:rsidRPr="008A49A9" w:rsidRDefault="008A49A9" w:rsidP="008A49A9">
            <w:pPr>
              <w:ind w:left="480" w:hangingChars="200" w:hanging="480"/>
              <w:rPr>
                <w:rFonts w:ascii="標楷體" w:eastAsia="標楷體" w:hAnsi="標楷體"/>
              </w:rPr>
            </w:pPr>
            <w:r w:rsidRPr="008A49A9">
              <w:rPr>
                <w:rFonts w:ascii="標楷體" w:eastAsia="標楷體" w:hAnsi="標楷體" w:hint="eastAsia"/>
              </w:rPr>
              <w:t>二、警報設備：火警自動警報設備（自動或手動）、緊急廣播設備、瓦斯漏氣火警自動警報設備、一一九火災通報裝置。</w:t>
            </w:r>
          </w:p>
          <w:p w14:paraId="51B05E38" w14:textId="77777777" w:rsidR="008A49A9" w:rsidRPr="008A49A9" w:rsidRDefault="008A49A9" w:rsidP="008A49A9">
            <w:pPr>
              <w:rPr>
                <w:rFonts w:ascii="標楷體" w:eastAsia="標楷體" w:hAnsi="標楷體"/>
              </w:rPr>
            </w:pPr>
            <w:r w:rsidRPr="008A49A9">
              <w:rPr>
                <w:rFonts w:ascii="標楷體" w:eastAsia="標楷體" w:hAnsi="標楷體" w:hint="eastAsia"/>
              </w:rPr>
              <w:t>三、避難器具。</w:t>
            </w:r>
          </w:p>
          <w:p w14:paraId="2E6E1618" w14:textId="2F2578D7" w:rsidR="008A49A9" w:rsidRPr="008A49A9" w:rsidRDefault="008A49A9" w:rsidP="008A49A9">
            <w:pPr>
              <w:ind w:left="480" w:hangingChars="200" w:hanging="480"/>
              <w:rPr>
                <w:rFonts w:ascii="標楷體" w:eastAsia="標楷體" w:hAnsi="標楷體"/>
              </w:rPr>
            </w:pPr>
            <w:r w:rsidRPr="008A49A9">
              <w:rPr>
                <w:rFonts w:ascii="標楷體" w:eastAsia="標楷體" w:hAnsi="標楷體" w:hint="eastAsia"/>
              </w:rPr>
              <w:t>四、消防搶救上之必要設備：連結送水管、消防專用蓄水池、排煙設備（緊急</w:t>
            </w:r>
            <w:proofErr w:type="gramStart"/>
            <w:r w:rsidRPr="008A49A9">
              <w:rPr>
                <w:rFonts w:ascii="標楷體" w:eastAsia="標楷體" w:hAnsi="標楷體" w:hint="eastAsia"/>
              </w:rPr>
              <w:t>昇</w:t>
            </w:r>
            <w:proofErr w:type="gramEnd"/>
            <w:r w:rsidRPr="008A49A9">
              <w:rPr>
                <w:rFonts w:ascii="標楷體" w:eastAsia="標楷體" w:hAnsi="標楷體" w:hint="eastAsia"/>
              </w:rPr>
              <w:t>降機間、特別安全梯間排煙設備、室內排煙設備）、緊急電源插座、無線電通信輔助設備、防災監控系統綜合操作裝置。</w:t>
            </w:r>
          </w:p>
          <w:p w14:paraId="4322A55D" w14:textId="610B1B3B" w:rsidR="008A49A9" w:rsidRPr="008A49A9" w:rsidRDefault="008A49A9" w:rsidP="008A49A9">
            <w:pPr>
              <w:ind w:left="480" w:hangingChars="200" w:hanging="480"/>
              <w:rPr>
                <w:rFonts w:ascii="標楷體" w:eastAsia="標楷體" w:hAnsi="標楷體"/>
              </w:rPr>
            </w:pPr>
            <w:r w:rsidRPr="008A49A9">
              <w:rPr>
                <w:rFonts w:ascii="標楷體" w:eastAsia="標楷體" w:hAnsi="標楷體" w:hint="eastAsia"/>
              </w:rPr>
              <w:t>五、其他經中央主管機關核准之同等以上效能之技術、工法或設備者。</w:t>
            </w:r>
          </w:p>
        </w:tc>
      </w:tr>
      <w:tr w:rsidR="008A49A9" w14:paraId="7A49511C" w14:textId="77777777" w:rsidTr="008A49A9">
        <w:tc>
          <w:tcPr>
            <w:tcW w:w="1696" w:type="dxa"/>
            <w:vMerge/>
            <w:vAlign w:val="center"/>
          </w:tcPr>
          <w:p w14:paraId="54C2A663" w14:textId="77777777" w:rsidR="008A49A9" w:rsidRPr="008A49A9" w:rsidRDefault="008A49A9" w:rsidP="008A49A9">
            <w:pPr>
              <w:jc w:val="center"/>
              <w:rPr>
                <w:rFonts w:ascii="標楷體" w:eastAsia="標楷體" w:hAnsi="標楷體"/>
              </w:rPr>
            </w:pPr>
          </w:p>
        </w:tc>
        <w:tc>
          <w:tcPr>
            <w:tcW w:w="2127" w:type="dxa"/>
            <w:vAlign w:val="center"/>
          </w:tcPr>
          <w:p w14:paraId="73776596" w14:textId="2349143C" w:rsidR="008A49A9" w:rsidRPr="008A49A9" w:rsidRDefault="008A49A9" w:rsidP="008A49A9">
            <w:pPr>
              <w:jc w:val="center"/>
              <w:rPr>
                <w:rFonts w:ascii="標楷體" w:eastAsia="標楷體" w:hAnsi="標楷體"/>
              </w:rPr>
            </w:pPr>
            <w:r w:rsidRPr="008A49A9">
              <w:rPr>
                <w:rFonts w:ascii="標楷體" w:eastAsia="標楷體" w:hAnsi="標楷體"/>
              </w:rPr>
              <w:t>缺失為</w:t>
            </w:r>
            <w:r w:rsidRPr="008A49A9">
              <w:rPr>
                <w:rFonts w:ascii="標楷體" w:eastAsia="標楷體" w:hAnsi="標楷體" w:hint="eastAsia"/>
              </w:rPr>
              <w:t>2</w:t>
            </w:r>
            <w:r w:rsidRPr="008A49A9">
              <w:rPr>
                <w:rFonts w:ascii="標楷體" w:eastAsia="標楷體" w:hAnsi="標楷體"/>
              </w:rPr>
              <w:t>至3項系統設備</w:t>
            </w:r>
          </w:p>
        </w:tc>
        <w:tc>
          <w:tcPr>
            <w:tcW w:w="992" w:type="dxa"/>
            <w:vAlign w:val="center"/>
          </w:tcPr>
          <w:p w14:paraId="4A7612B5" w14:textId="06CC7982" w:rsidR="008A49A9" w:rsidRPr="008A49A9" w:rsidRDefault="008A49A9" w:rsidP="008A49A9">
            <w:pPr>
              <w:jc w:val="center"/>
              <w:rPr>
                <w:rFonts w:ascii="標楷體" w:eastAsia="標楷體" w:hAnsi="標楷體"/>
              </w:rPr>
            </w:pPr>
            <w:r w:rsidRPr="008A49A9">
              <w:rPr>
                <w:rFonts w:ascii="標楷體" w:eastAsia="標楷體" w:hAnsi="標楷體" w:hint="eastAsia"/>
              </w:rPr>
              <w:t>60日</w:t>
            </w:r>
          </w:p>
        </w:tc>
        <w:tc>
          <w:tcPr>
            <w:tcW w:w="3481" w:type="dxa"/>
            <w:vMerge/>
          </w:tcPr>
          <w:p w14:paraId="2EB8956D" w14:textId="77777777" w:rsidR="008A49A9" w:rsidRPr="008A49A9" w:rsidRDefault="008A49A9">
            <w:pPr>
              <w:rPr>
                <w:rFonts w:ascii="標楷體" w:eastAsia="標楷體" w:hAnsi="標楷體"/>
              </w:rPr>
            </w:pPr>
          </w:p>
        </w:tc>
      </w:tr>
      <w:tr w:rsidR="008A49A9" w14:paraId="657A0658" w14:textId="77777777" w:rsidTr="008A49A9">
        <w:tc>
          <w:tcPr>
            <w:tcW w:w="1696" w:type="dxa"/>
            <w:vMerge/>
            <w:vAlign w:val="center"/>
          </w:tcPr>
          <w:p w14:paraId="69B98931" w14:textId="77777777" w:rsidR="008A49A9" w:rsidRPr="008A49A9" w:rsidRDefault="008A49A9" w:rsidP="008A49A9">
            <w:pPr>
              <w:jc w:val="center"/>
              <w:rPr>
                <w:rFonts w:ascii="標楷體" w:eastAsia="標楷體" w:hAnsi="標楷體"/>
              </w:rPr>
            </w:pPr>
          </w:p>
        </w:tc>
        <w:tc>
          <w:tcPr>
            <w:tcW w:w="2127" w:type="dxa"/>
            <w:vAlign w:val="center"/>
          </w:tcPr>
          <w:p w14:paraId="4510B2A7" w14:textId="080E9E08" w:rsidR="008A49A9" w:rsidRPr="008A49A9" w:rsidRDefault="008A49A9" w:rsidP="008A49A9">
            <w:pPr>
              <w:jc w:val="center"/>
              <w:rPr>
                <w:rFonts w:ascii="標楷體" w:eastAsia="標楷體" w:hAnsi="標楷體"/>
              </w:rPr>
            </w:pPr>
            <w:r w:rsidRPr="008A49A9">
              <w:rPr>
                <w:rFonts w:ascii="標楷體" w:eastAsia="標楷體" w:hAnsi="標楷體"/>
              </w:rPr>
              <w:t>缺失為4項以上系統設備</w:t>
            </w:r>
          </w:p>
        </w:tc>
        <w:tc>
          <w:tcPr>
            <w:tcW w:w="992" w:type="dxa"/>
            <w:vAlign w:val="center"/>
          </w:tcPr>
          <w:p w14:paraId="0DD11DE8" w14:textId="11B258CA" w:rsidR="008A49A9" w:rsidRPr="008A49A9" w:rsidRDefault="008A49A9" w:rsidP="008A49A9">
            <w:pPr>
              <w:jc w:val="center"/>
              <w:rPr>
                <w:rFonts w:ascii="標楷體" w:eastAsia="標楷體" w:hAnsi="標楷體"/>
              </w:rPr>
            </w:pPr>
            <w:r w:rsidRPr="008A49A9">
              <w:rPr>
                <w:rFonts w:ascii="標楷體" w:eastAsia="標楷體" w:hAnsi="標楷體" w:hint="eastAsia"/>
              </w:rPr>
              <w:t>90日</w:t>
            </w:r>
          </w:p>
        </w:tc>
        <w:tc>
          <w:tcPr>
            <w:tcW w:w="3481" w:type="dxa"/>
            <w:vMerge/>
          </w:tcPr>
          <w:p w14:paraId="2A74FF7C" w14:textId="77777777" w:rsidR="008A49A9" w:rsidRPr="008A49A9" w:rsidRDefault="008A49A9">
            <w:pPr>
              <w:rPr>
                <w:rFonts w:ascii="標楷體" w:eastAsia="標楷體" w:hAnsi="標楷體"/>
              </w:rPr>
            </w:pPr>
          </w:p>
        </w:tc>
      </w:tr>
      <w:tr w:rsidR="008A49A9" w14:paraId="0F4DAF33" w14:textId="77777777" w:rsidTr="008A49A9">
        <w:tc>
          <w:tcPr>
            <w:tcW w:w="4815" w:type="dxa"/>
            <w:gridSpan w:val="3"/>
          </w:tcPr>
          <w:p w14:paraId="2D2619C9" w14:textId="12A7EFE8" w:rsidR="00E826AD" w:rsidRPr="00E826AD" w:rsidRDefault="00E826AD" w:rsidP="00E826AD">
            <w:pPr>
              <w:rPr>
                <w:rFonts w:ascii="標楷體" w:eastAsia="標楷體" w:hAnsi="標楷體"/>
              </w:rPr>
            </w:pPr>
            <w:proofErr w:type="gramStart"/>
            <w:r>
              <w:rPr>
                <w:rFonts w:ascii="標楷體" w:eastAsia="標楷體" w:hAnsi="標楷體" w:hint="eastAsia"/>
              </w:rPr>
              <w:t>註</w:t>
            </w:r>
            <w:proofErr w:type="gramEnd"/>
            <w:r w:rsidRPr="00E826AD">
              <w:rPr>
                <w:rFonts w:ascii="標楷體" w:eastAsia="標楷體" w:hAnsi="標楷體" w:hint="eastAsia"/>
              </w:rPr>
              <w:t>：</w:t>
            </w:r>
          </w:p>
          <w:p w14:paraId="04A42F68" w14:textId="07E0DC1E" w:rsidR="00E826AD" w:rsidRPr="00E826AD" w:rsidRDefault="00E826AD" w:rsidP="00E826AD">
            <w:pPr>
              <w:ind w:left="480" w:hangingChars="200" w:hanging="480"/>
              <w:rPr>
                <w:rFonts w:ascii="標楷體" w:eastAsia="標楷體" w:hAnsi="標楷體"/>
              </w:rPr>
            </w:pPr>
            <w:r w:rsidRPr="00E826AD">
              <w:rPr>
                <w:rFonts w:ascii="標楷體" w:eastAsia="標楷體" w:hAnsi="標楷體" w:hint="eastAsia"/>
              </w:rPr>
              <w:t>一、辦理限期改善應依上表之原則予以審查展延日期，惟改善期限總計不得逾90日（改善期限以開具限改單之檢查日期為起算日）。</w:t>
            </w:r>
          </w:p>
          <w:p w14:paraId="3564029B" w14:textId="786A99D4" w:rsidR="00E826AD" w:rsidRPr="00E826AD" w:rsidRDefault="00E826AD" w:rsidP="00E826AD">
            <w:pPr>
              <w:ind w:left="480" w:hangingChars="200" w:hanging="480"/>
              <w:rPr>
                <w:rFonts w:ascii="標楷體" w:eastAsia="標楷體" w:hAnsi="標楷體"/>
              </w:rPr>
            </w:pPr>
            <w:r w:rsidRPr="00E826AD">
              <w:rPr>
                <w:rFonts w:ascii="標楷體" w:eastAsia="標楷體" w:hAnsi="標楷體" w:hint="eastAsia"/>
              </w:rPr>
              <w:t>二、限期改善缺失內容為系統式設備且適用政府採購法需上網公告招標或其他行政法令(程序)者，該期間得加計90日限期改善期限。</w:t>
            </w:r>
          </w:p>
          <w:p w14:paraId="0EC11507" w14:textId="7E82938E" w:rsidR="00E826AD" w:rsidRPr="00E826AD" w:rsidRDefault="00E826AD" w:rsidP="00E826AD">
            <w:pPr>
              <w:ind w:left="480" w:hangingChars="200" w:hanging="480"/>
              <w:rPr>
                <w:rFonts w:ascii="標楷體" w:eastAsia="標楷體" w:hAnsi="標楷體"/>
              </w:rPr>
            </w:pPr>
            <w:r w:rsidRPr="00E826AD">
              <w:rPr>
                <w:rFonts w:ascii="標楷體" w:eastAsia="標楷體" w:hAnsi="標楷體" w:hint="eastAsia"/>
              </w:rPr>
              <w:t>三、消防安全設備施工中展延以一次</w:t>
            </w:r>
            <w:proofErr w:type="gramStart"/>
            <w:r w:rsidRPr="00E826AD">
              <w:rPr>
                <w:rFonts w:ascii="標楷體" w:eastAsia="標楷體" w:hAnsi="標楷體" w:hint="eastAsia"/>
              </w:rPr>
              <w:t>為限且展延</w:t>
            </w:r>
            <w:proofErr w:type="gramEnd"/>
            <w:r w:rsidRPr="00E826AD">
              <w:rPr>
                <w:rFonts w:ascii="標楷體" w:eastAsia="標楷體" w:hAnsi="標楷體" w:hint="eastAsia"/>
              </w:rPr>
              <w:t xml:space="preserve">日期不得超過90日。 </w:t>
            </w:r>
          </w:p>
          <w:p w14:paraId="45E63727" w14:textId="3A08DC63" w:rsidR="00E826AD" w:rsidRPr="00E826AD" w:rsidRDefault="00E826AD" w:rsidP="00E826AD">
            <w:pPr>
              <w:ind w:left="480" w:hangingChars="200" w:hanging="480"/>
              <w:rPr>
                <w:rFonts w:ascii="標楷體" w:eastAsia="標楷體" w:hAnsi="標楷體"/>
              </w:rPr>
            </w:pPr>
            <w:r w:rsidRPr="00E826AD">
              <w:rPr>
                <w:rFonts w:ascii="標楷體" w:eastAsia="標楷體" w:hAnsi="標楷體" w:hint="eastAsia"/>
              </w:rPr>
              <w:t>四、消防安全設備專案展延以一次</w:t>
            </w:r>
            <w:proofErr w:type="gramStart"/>
            <w:r w:rsidRPr="00E826AD">
              <w:rPr>
                <w:rFonts w:ascii="標楷體" w:eastAsia="標楷體" w:hAnsi="標楷體" w:hint="eastAsia"/>
              </w:rPr>
              <w:t>為限且展延</w:t>
            </w:r>
            <w:proofErr w:type="gramEnd"/>
            <w:r w:rsidRPr="00E826AD">
              <w:rPr>
                <w:rFonts w:ascii="標楷體" w:eastAsia="標楷體" w:hAnsi="標楷體" w:hint="eastAsia"/>
              </w:rPr>
              <w:t xml:space="preserve">日期不得超過180日。 </w:t>
            </w:r>
          </w:p>
          <w:p w14:paraId="12E27BF2" w14:textId="1C7BBB21" w:rsidR="008A49A9" w:rsidRPr="008A49A9" w:rsidRDefault="00E826AD" w:rsidP="00E826AD">
            <w:pPr>
              <w:ind w:left="480" w:hangingChars="200" w:hanging="480"/>
              <w:rPr>
                <w:rFonts w:ascii="標楷體" w:eastAsia="標楷體" w:hAnsi="標楷體"/>
              </w:rPr>
            </w:pPr>
            <w:r w:rsidRPr="00E826AD">
              <w:rPr>
                <w:rFonts w:ascii="標楷體" w:eastAsia="標楷體" w:hAnsi="標楷體" w:hint="eastAsia"/>
              </w:rPr>
              <w:t>五、如有因天然災害或不可抗力等因素，展延日期需超過180日之案件，</w:t>
            </w:r>
            <w:r>
              <w:rPr>
                <w:rFonts w:ascii="標楷體" w:eastAsia="標楷體" w:hAnsi="標楷體" w:hint="eastAsia"/>
              </w:rPr>
              <w:t>管理權人應於展延期限7日前，提具注意事項第5點</w:t>
            </w:r>
            <w:r w:rsidRPr="00E826AD">
              <w:rPr>
                <w:rFonts w:ascii="標楷體" w:eastAsia="標楷體" w:hAnsi="標楷體" w:hint="eastAsia"/>
              </w:rPr>
              <w:t>陳報本局預防科審核。</w:t>
            </w:r>
          </w:p>
        </w:tc>
        <w:tc>
          <w:tcPr>
            <w:tcW w:w="3481" w:type="dxa"/>
            <w:vMerge/>
          </w:tcPr>
          <w:p w14:paraId="15B9ADD0" w14:textId="77777777" w:rsidR="008A49A9" w:rsidRPr="008A49A9" w:rsidRDefault="008A49A9">
            <w:pPr>
              <w:rPr>
                <w:rFonts w:ascii="標楷體" w:eastAsia="標楷體" w:hAnsi="標楷體"/>
              </w:rPr>
            </w:pPr>
          </w:p>
        </w:tc>
      </w:tr>
    </w:tbl>
    <w:p w14:paraId="08C52EF4" w14:textId="77777777" w:rsidR="008A49A9" w:rsidRDefault="008A49A9"/>
    <w:sectPr w:rsidR="008A49A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4566A" w14:textId="77777777" w:rsidR="00365646" w:rsidRDefault="00365646" w:rsidP="003F74FC">
      <w:r>
        <w:separator/>
      </w:r>
    </w:p>
  </w:endnote>
  <w:endnote w:type="continuationSeparator" w:id="0">
    <w:p w14:paraId="1726FF59" w14:textId="77777777" w:rsidR="00365646" w:rsidRDefault="00365646" w:rsidP="003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81E86" w14:textId="77777777" w:rsidR="00365646" w:rsidRDefault="00365646" w:rsidP="003F74FC">
      <w:r>
        <w:separator/>
      </w:r>
    </w:p>
  </w:footnote>
  <w:footnote w:type="continuationSeparator" w:id="0">
    <w:p w14:paraId="4C367D94" w14:textId="77777777" w:rsidR="00365646" w:rsidRDefault="00365646" w:rsidP="003F7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9A9"/>
    <w:rsid w:val="00365646"/>
    <w:rsid w:val="003F74FC"/>
    <w:rsid w:val="00625618"/>
    <w:rsid w:val="008A49A9"/>
    <w:rsid w:val="00A71A1D"/>
    <w:rsid w:val="00BD08FC"/>
    <w:rsid w:val="00D6342F"/>
    <w:rsid w:val="00E826AD"/>
    <w:rsid w:val="00EA68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D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9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F74FC"/>
    <w:pPr>
      <w:tabs>
        <w:tab w:val="center" w:pos="4153"/>
        <w:tab w:val="right" w:pos="8306"/>
      </w:tabs>
      <w:snapToGrid w:val="0"/>
    </w:pPr>
    <w:rPr>
      <w:sz w:val="20"/>
      <w:szCs w:val="20"/>
    </w:rPr>
  </w:style>
  <w:style w:type="character" w:customStyle="1" w:styleId="a5">
    <w:name w:val="頁首 字元"/>
    <w:basedOn w:val="a0"/>
    <w:link w:val="a4"/>
    <w:uiPriority w:val="99"/>
    <w:rsid w:val="003F74FC"/>
    <w:rPr>
      <w:sz w:val="20"/>
      <w:szCs w:val="20"/>
    </w:rPr>
  </w:style>
  <w:style w:type="paragraph" w:styleId="a6">
    <w:name w:val="footer"/>
    <w:basedOn w:val="a"/>
    <w:link w:val="a7"/>
    <w:uiPriority w:val="99"/>
    <w:unhideWhenUsed/>
    <w:rsid w:val="003F74FC"/>
    <w:pPr>
      <w:tabs>
        <w:tab w:val="center" w:pos="4153"/>
        <w:tab w:val="right" w:pos="8306"/>
      </w:tabs>
      <w:snapToGrid w:val="0"/>
    </w:pPr>
    <w:rPr>
      <w:sz w:val="20"/>
      <w:szCs w:val="20"/>
    </w:rPr>
  </w:style>
  <w:style w:type="character" w:customStyle="1" w:styleId="a7">
    <w:name w:val="頁尾 字元"/>
    <w:basedOn w:val="a0"/>
    <w:link w:val="a6"/>
    <w:uiPriority w:val="99"/>
    <w:rsid w:val="003F74F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9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F74FC"/>
    <w:pPr>
      <w:tabs>
        <w:tab w:val="center" w:pos="4153"/>
        <w:tab w:val="right" w:pos="8306"/>
      </w:tabs>
      <w:snapToGrid w:val="0"/>
    </w:pPr>
    <w:rPr>
      <w:sz w:val="20"/>
      <w:szCs w:val="20"/>
    </w:rPr>
  </w:style>
  <w:style w:type="character" w:customStyle="1" w:styleId="a5">
    <w:name w:val="頁首 字元"/>
    <w:basedOn w:val="a0"/>
    <w:link w:val="a4"/>
    <w:uiPriority w:val="99"/>
    <w:rsid w:val="003F74FC"/>
    <w:rPr>
      <w:sz w:val="20"/>
      <w:szCs w:val="20"/>
    </w:rPr>
  </w:style>
  <w:style w:type="paragraph" w:styleId="a6">
    <w:name w:val="footer"/>
    <w:basedOn w:val="a"/>
    <w:link w:val="a7"/>
    <w:uiPriority w:val="99"/>
    <w:unhideWhenUsed/>
    <w:rsid w:val="003F74FC"/>
    <w:pPr>
      <w:tabs>
        <w:tab w:val="center" w:pos="4153"/>
        <w:tab w:val="right" w:pos="8306"/>
      </w:tabs>
      <w:snapToGrid w:val="0"/>
    </w:pPr>
    <w:rPr>
      <w:sz w:val="20"/>
      <w:szCs w:val="20"/>
    </w:rPr>
  </w:style>
  <w:style w:type="character" w:customStyle="1" w:styleId="a7">
    <w:name w:val="頁尾 字元"/>
    <w:basedOn w:val="a0"/>
    <w:link w:val="a6"/>
    <w:uiPriority w:val="99"/>
    <w:rsid w:val="003F74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忠仁 李</dc:creator>
  <cp:keywords/>
  <dc:description/>
  <cp:lastModifiedBy>user</cp:lastModifiedBy>
  <cp:revision>3</cp:revision>
  <dcterms:created xsi:type="dcterms:W3CDTF">2024-05-07T13:27:00Z</dcterms:created>
  <dcterms:modified xsi:type="dcterms:W3CDTF">2024-05-08T00:26:00Z</dcterms:modified>
</cp:coreProperties>
</file>