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1" w:type="dxa"/>
        <w:tblLook w:val="04A0" w:firstRow="1" w:lastRow="0" w:firstColumn="1" w:lastColumn="0" w:noHBand="0" w:noVBand="1"/>
      </w:tblPr>
      <w:tblGrid>
        <w:gridCol w:w="1838"/>
        <w:gridCol w:w="2131"/>
        <w:gridCol w:w="5812"/>
      </w:tblGrid>
      <w:tr w:rsidR="00E22672" w:rsidRPr="004150F0" w14:paraId="6CBA9545" w14:textId="77777777" w:rsidTr="004150F0">
        <w:trPr>
          <w:trHeight w:val="1276"/>
        </w:trPr>
        <w:tc>
          <w:tcPr>
            <w:tcW w:w="9781" w:type="dxa"/>
            <w:gridSpan w:val="3"/>
            <w:tcBorders>
              <w:top w:val="nil"/>
              <w:left w:val="nil"/>
              <w:bottom w:val="thinThickSmallGap" w:sz="24" w:space="0" w:color="auto"/>
              <w:right w:val="nil"/>
            </w:tcBorders>
            <w:vAlign w:val="center"/>
          </w:tcPr>
          <w:p w14:paraId="166B689E" w14:textId="3A1629EC" w:rsidR="00E22672" w:rsidRPr="004150F0" w:rsidRDefault="00E22672" w:rsidP="004150F0">
            <w:pPr>
              <w:jc w:val="center"/>
              <w:rPr>
                <w:rFonts w:ascii="微軟正黑體" w:eastAsia="微軟正黑體" w:hAnsi="微軟正黑體"/>
                <w:b/>
                <w:bCs/>
                <w:sz w:val="32"/>
                <w:szCs w:val="32"/>
              </w:rPr>
            </w:pPr>
            <w:r w:rsidRPr="004150F0">
              <w:rPr>
                <w:rFonts w:ascii="微軟正黑體" w:eastAsia="微軟正黑體" w:hAnsi="微軟正黑體" w:hint="eastAsia"/>
                <w:b/>
                <w:bCs/>
                <w:sz w:val="32"/>
                <w:szCs w:val="32"/>
              </w:rPr>
              <w:t>金門縣</w:t>
            </w:r>
            <w:r w:rsidRPr="004150F0">
              <w:rPr>
                <w:rFonts w:ascii="微軟正黑體" w:eastAsia="微軟正黑體" w:hAnsi="微軟正黑體"/>
                <w:b/>
                <w:bCs/>
                <w:sz w:val="32"/>
                <w:szCs w:val="32"/>
              </w:rPr>
              <w:t>政府人事處113年</w:t>
            </w:r>
            <w:r w:rsidR="00156E53">
              <w:rPr>
                <w:rFonts w:ascii="微軟正黑體" w:eastAsia="微軟正黑體" w:hAnsi="微軟正黑體" w:hint="eastAsia"/>
                <w:b/>
                <w:bCs/>
                <w:sz w:val="32"/>
                <w:szCs w:val="32"/>
              </w:rPr>
              <w:t>5</w:t>
            </w:r>
            <w:r w:rsidRPr="004150F0">
              <w:rPr>
                <w:rFonts w:ascii="微軟正黑體" w:eastAsia="微軟正黑體" w:hAnsi="微軟正黑體"/>
                <w:b/>
                <w:bCs/>
                <w:sz w:val="32"/>
                <w:szCs w:val="32"/>
              </w:rPr>
              <w:t>月份大事</w:t>
            </w:r>
            <w:r w:rsidRPr="004150F0">
              <w:rPr>
                <w:rFonts w:ascii="微軟正黑體" w:eastAsia="微軟正黑體" w:hAnsi="微軟正黑體" w:hint="eastAsia"/>
                <w:b/>
                <w:bCs/>
                <w:sz w:val="32"/>
                <w:szCs w:val="32"/>
              </w:rPr>
              <w:t>紀</w:t>
            </w:r>
          </w:p>
          <w:p w14:paraId="63F94435" w14:textId="7A575F58" w:rsidR="00E22672" w:rsidRPr="00754F15" w:rsidRDefault="00E22672" w:rsidP="004150F0">
            <w:pPr>
              <w:spacing w:line="360" w:lineRule="exact"/>
              <w:jc w:val="center"/>
              <w:rPr>
                <w:rFonts w:ascii="微軟正黑體" w:eastAsia="微軟正黑體" w:hAnsi="微軟正黑體"/>
                <w:sz w:val="26"/>
                <w:szCs w:val="26"/>
              </w:rPr>
            </w:pPr>
            <w:r w:rsidRPr="00754F15">
              <w:rPr>
                <w:rFonts w:ascii="微軟正黑體" w:eastAsia="微軟正黑體" w:hAnsi="微軟正黑體"/>
                <w:sz w:val="26"/>
                <w:szCs w:val="26"/>
              </w:rPr>
              <w:t>（113年</w:t>
            </w:r>
            <w:r w:rsidR="00156E53">
              <w:rPr>
                <w:rFonts w:ascii="微軟正黑體" w:eastAsia="微軟正黑體" w:hAnsi="微軟正黑體" w:hint="eastAsia"/>
                <w:sz w:val="26"/>
                <w:szCs w:val="26"/>
              </w:rPr>
              <w:t>5</w:t>
            </w:r>
            <w:r w:rsidRPr="00754F15">
              <w:rPr>
                <w:rFonts w:ascii="微軟正黑體" w:eastAsia="微軟正黑體" w:hAnsi="微軟正黑體"/>
                <w:sz w:val="26"/>
                <w:szCs w:val="26"/>
              </w:rPr>
              <w:t>月1日至</w:t>
            </w:r>
            <w:r w:rsidR="00FE3E2D">
              <w:rPr>
                <w:rFonts w:ascii="微軟正黑體" w:eastAsia="微軟正黑體" w:hAnsi="微軟正黑體"/>
                <w:sz w:val="26"/>
                <w:szCs w:val="26"/>
              </w:rPr>
              <w:t>5</w:t>
            </w:r>
            <w:r w:rsidRPr="00754F15">
              <w:rPr>
                <w:rFonts w:ascii="微軟正黑體" w:eastAsia="微軟正黑體" w:hAnsi="微軟正黑體"/>
                <w:sz w:val="26"/>
                <w:szCs w:val="26"/>
              </w:rPr>
              <w:t>月3</w:t>
            </w:r>
            <w:r w:rsidR="00156E53">
              <w:rPr>
                <w:rFonts w:ascii="微軟正黑體" w:eastAsia="微軟正黑體" w:hAnsi="微軟正黑體" w:hint="eastAsia"/>
                <w:sz w:val="26"/>
                <w:szCs w:val="26"/>
              </w:rPr>
              <w:t>1</w:t>
            </w:r>
            <w:r w:rsidRPr="00754F15">
              <w:rPr>
                <w:rFonts w:ascii="微軟正黑體" w:eastAsia="微軟正黑體" w:hAnsi="微軟正黑體"/>
                <w:sz w:val="26"/>
                <w:szCs w:val="26"/>
              </w:rPr>
              <w:t>日）</w:t>
            </w:r>
          </w:p>
        </w:tc>
      </w:tr>
      <w:tr w:rsidR="00E22672" w:rsidRPr="004150F0" w14:paraId="3F16F9B6" w14:textId="77777777" w:rsidTr="004150F0">
        <w:tc>
          <w:tcPr>
            <w:tcW w:w="1838" w:type="dxa"/>
            <w:tcBorders>
              <w:top w:val="thinThickSmallGap" w:sz="24" w:space="0" w:color="auto"/>
              <w:left w:val="thinThickSmallGap" w:sz="24" w:space="0" w:color="auto"/>
            </w:tcBorders>
          </w:tcPr>
          <w:p w14:paraId="600D2FA3" w14:textId="72EA46CA"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日期</w:t>
            </w:r>
          </w:p>
        </w:tc>
        <w:tc>
          <w:tcPr>
            <w:tcW w:w="2131" w:type="dxa"/>
            <w:tcBorders>
              <w:top w:val="thinThickSmallGap" w:sz="24" w:space="0" w:color="auto"/>
            </w:tcBorders>
          </w:tcPr>
          <w:p w14:paraId="74E96956" w14:textId="20C14068"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活動項目</w:t>
            </w:r>
          </w:p>
        </w:tc>
        <w:tc>
          <w:tcPr>
            <w:tcW w:w="5812" w:type="dxa"/>
            <w:tcBorders>
              <w:top w:val="thinThickSmallGap" w:sz="24" w:space="0" w:color="auto"/>
              <w:right w:val="thickThinSmallGap" w:sz="24" w:space="0" w:color="auto"/>
            </w:tcBorders>
          </w:tcPr>
          <w:p w14:paraId="397B0260" w14:textId="5722AA6F" w:rsidR="00E22672" w:rsidRPr="004150F0" w:rsidRDefault="00E22672" w:rsidP="00E22672">
            <w:pPr>
              <w:jc w:val="center"/>
              <w:rPr>
                <w:rFonts w:ascii="微軟正黑體" w:eastAsia="微軟正黑體" w:hAnsi="微軟正黑體"/>
                <w:sz w:val="26"/>
                <w:szCs w:val="26"/>
              </w:rPr>
            </w:pPr>
            <w:r w:rsidRPr="004150F0">
              <w:rPr>
                <w:rFonts w:ascii="微軟正黑體" w:eastAsia="微軟正黑體" w:hAnsi="微軟正黑體" w:hint="eastAsia"/>
                <w:sz w:val="26"/>
                <w:szCs w:val="26"/>
              </w:rPr>
              <w:t>內容說明</w:t>
            </w:r>
          </w:p>
        </w:tc>
      </w:tr>
      <w:tr w:rsidR="004E4303" w:rsidRPr="004150F0" w14:paraId="7012DB6B" w14:textId="77777777" w:rsidTr="006744B1">
        <w:trPr>
          <w:trHeight w:val="3434"/>
        </w:trPr>
        <w:tc>
          <w:tcPr>
            <w:tcW w:w="1838" w:type="dxa"/>
            <w:tcBorders>
              <w:left w:val="thinThickSmallGap" w:sz="24" w:space="0" w:color="auto"/>
            </w:tcBorders>
            <w:vAlign w:val="center"/>
          </w:tcPr>
          <w:p w14:paraId="5EEB8099" w14:textId="471A54AA" w:rsidR="004E4303" w:rsidRPr="004150F0" w:rsidRDefault="00FE3E2D" w:rsidP="004150F0">
            <w:pPr>
              <w:jc w:val="center"/>
              <w:rPr>
                <w:rFonts w:ascii="微軟正黑體" w:eastAsia="微軟正黑體" w:hAnsi="微軟正黑體"/>
                <w:sz w:val="26"/>
                <w:szCs w:val="26"/>
              </w:rPr>
            </w:pPr>
            <w:r>
              <w:rPr>
                <w:rFonts w:ascii="微軟正黑體" w:eastAsia="微軟正黑體" w:hAnsi="微軟正黑體" w:hint="eastAsia"/>
                <w:sz w:val="26"/>
                <w:szCs w:val="26"/>
              </w:rPr>
              <w:t>5</w:t>
            </w:r>
            <w:r w:rsidR="004E4303" w:rsidRPr="004150F0">
              <w:rPr>
                <w:rFonts w:ascii="微軟正黑體" w:eastAsia="微軟正黑體" w:hAnsi="微軟正黑體" w:hint="eastAsia"/>
                <w:sz w:val="26"/>
                <w:szCs w:val="26"/>
              </w:rPr>
              <w:t>月</w:t>
            </w:r>
            <w:r>
              <w:rPr>
                <w:rFonts w:ascii="微軟正黑體" w:eastAsia="微軟正黑體" w:hAnsi="微軟正黑體"/>
                <w:sz w:val="26"/>
                <w:szCs w:val="26"/>
              </w:rPr>
              <w:t>7</w:t>
            </w:r>
            <w:r w:rsidR="004E4303" w:rsidRPr="004150F0">
              <w:rPr>
                <w:rFonts w:ascii="微軟正黑體" w:eastAsia="微軟正黑體" w:hAnsi="微軟正黑體" w:hint="eastAsia"/>
                <w:sz w:val="26"/>
                <w:szCs w:val="26"/>
              </w:rPr>
              <w:t>日</w:t>
            </w:r>
          </w:p>
        </w:tc>
        <w:tc>
          <w:tcPr>
            <w:tcW w:w="2131" w:type="dxa"/>
            <w:vAlign w:val="center"/>
          </w:tcPr>
          <w:p w14:paraId="0BB16253" w14:textId="67C0C4B1" w:rsidR="004E4303" w:rsidRPr="00754F15" w:rsidRDefault="00FE3E2D" w:rsidP="004150F0">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113年核心職能與專業素養研習－公文寫作技巧與案例解析</w:t>
            </w:r>
          </w:p>
        </w:tc>
        <w:tc>
          <w:tcPr>
            <w:tcW w:w="5812" w:type="dxa"/>
            <w:tcBorders>
              <w:right w:val="thickThinSmallGap" w:sz="24" w:space="0" w:color="auto"/>
            </w:tcBorders>
            <w:vAlign w:val="center"/>
          </w:tcPr>
          <w:p w14:paraId="2F15BD7B" w14:textId="4A3C4E2E" w:rsidR="004E4303" w:rsidRPr="004150F0" w:rsidRDefault="00FE3E2D" w:rsidP="004150F0">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為培訓及加強縣府及所屬機關基層公務同仁辦理業務所需核心職能，並落實陳縣長上任以來屢次在主管以上人員會議場合提及對公務人力培訓之重視，聘邀國家文官學院公文製作及習作講座、前</w:t>
            </w:r>
            <w:proofErr w:type="gramStart"/>
            <w:r w:rsidRPr="00FE3E2D">
              <w:rPr>
                <w:rFonts w:ascii="微軟正黑體" w:eastAsia="微軟正黑體" w:hAnsi="微軟正黑體" w:hint="eastAsia"/>
                <w:sz w:val="26"/>
                <w:szCs w:val="26"/>
              </w:rPr>
              <w:t>臺</w:t>
            </w:r>
            <w:proofErr w:type="gramEnd"/>
            <w:r w:rsidRPr="00FE3E2D">
              <w:rPr>
                <w:rFonts w:ascii="微軟正黑體" w:eastAsia="微軟正黑體" w:hAnsi="微軟正黑體" w:hint="eastAsia"/>
                <w:sz w:val="26"/>
                <w:szCs w:val="26"/>
              </w:rPr>
              <w:t>南縣政府行政管理室主任－邱忠民老師擔任講座，</w:t>
            </w:r>
            <w:proofErr w:type="gramStart"/>
            <w:r w:rsidRPr="00FE3E2D">
              <w:rPr>
                <w:rFonts w:ascii="微軟正黑體" w:eastAsia="微軟正黑體" w:hAnsi="微軟正黑體" w:hint="eastAsia"/>
                <w:sz w:val="26"/>
                <w:szCs w:val="26"/>
              </w:rPr>
              <w:t>期許參訓同仁</w:t>
            </w:r>
            <w:proofErr w:type="gramEnd"/>
            <w:r w:rsidRPr="00FE3E2D">
              <w:rPr>
                <w:rFonts w:ascii="微軟正黑體" w:eastAsia="微軟正黑體" w:hAnsi="微軟正黑體" w:hint="eastAsia"/>
                <w:sz w:val="26"/>
                <w:szCs w:val="26"/>
              </w:rPr>
              <w:t>能藉由研習訓練強化公文處理之品質與效率，落實應用在自身工作領域，強化業務執行績效，擴大整體行政效率，進而提升為民服務效能。</w:t>
            </w:r>
          </w:p>
        </w:tc>
      </w:tr>
      <w:tr w:rsidR="00BC4F73" w:rsidRPr="004150F0" w14:paraId="51C090B5" w14:textId="77777777" w:rsidTr="006744B1">
        <w:trPr>
          <w:trHeight w:val="3155"/>
        </w:trPr>
        <w:tc>
          <w:tcPr>
            <w:tcW w:w="1838" w:type="dxa"/>
            <w:tcBorders>
              <w:left w:val="thinThickSmallGap" w:sz="24" w:space="0" w:color="auto"/>
            </w:tcBorders>
            <w:vAlign w:val="center"/>
          </w:tcPr>
          <w:p w14:paraId="710068E7" w14:textId="15E9EF68" w:rsidR="00BC4F73" w:rsidRDefault="00BC4F73" w:rsidP="004150F0">
            <w:pPr>
              <w:jc w:val="center"/>
              <w:rPr>
                <w:rFonts w:ascii="微軟正黑體" w:eastAsia="微軟正黑體" w:hAnsi="微軟正黑體" w:hint="eastAsia"/>
                <w:sz w:val="26"/>
                <w:szCs w:val="26"/>
              </w:rPr>
            </w:pPr>
            <w:r>
              <w:rPr>
                <w:rFonts w:ascii="微軟正黑體" w:eastAsia="微軟正黑體" w:hAnsi="微軟正黑體" w:hint="eastAsia"/>
                <w:sz w:val="26"/>
                <w:szCs w:val="26"/>
              </w:rPr>
              <w:t>5月9日</w:t>
            </w:r>
          </w:p>
        </w:tc>
        <w:tc>
          <w:tcPr>
            <w:tcW w:w="2131" w:type="dxa"/>
            <w:vAlign w:val="center"/>
          </w:tcPr>
          <w:p w14:paraId="37C56453" w14:textId="3CBCE49D" w:rsidR="00BC4F73" w:rsidRPr="00FE3E2D" w:rsidRDefault="00BC4F73" w:rsidP="004150F0">
            <w:pPr>
              <w:spacing w:line="360" w:lineRule="exact"/>
              <w:jc w:val="both"/>
              <w:rPr>
                <w:rFonts w:ascii="微軟正黑體" w:eastAsia="微軟正黑體" w:hAnsi="微軟正黑體" w:hint="eastAsia"/>
                <w:sz w:val="26"/>
                <w:szCs w:val="26"/>
              </w:rPr>
            </w:pPr>
            <w:r w:rsidRPr="00BC4F73">
              <w:rPr>
                <w:rFonts w:ascii="微軟正黑體" w:eastAsia="微軟正黑體" w:hAnsi="微軟正黑體" w:hint="eastAsia"/>
                <w:sz w:val="26"/>
                <w:szCs w:val="26"/>
              </w:rPr>
              <w:t>員工協助方案-財務專題-資產配置~</w:t>
            </w:r>
            <w:proofErr w:type="gramStart"/>
            <w:r w:rsidRPr="00BC4F73">
              <w:rPr>
                <w:rFonts w:ascii="微軟正黑體" w:eastAsia="微軟正黑體" w:hAnsi="微軟正黑體" w:hint="eastAsia"/>
                <w:sz w:val="26"/>
                <w:szCs w:val="26"/>
              </w:rPr>
              <w:t>樂活下半場</w:t>
            </w:r>
            <w:proofErr w:type="gramEnd"/>
          </w:p>
        </w:tc>
        <w:tc>
          <w:tcPr>
            <w:tcW w:w="5812" w:type="dxa"/>
            <w:tcBorders>
              <w:right w:val="thickThinSmallGap" w:sz="24" w:space="0" w:color="auto"/>
            </w:tcBorders>
            <w:vAlign w:val="center"/>
          </w:tcPr>
          <w:p w14:paraId="2AA6881D" w14:textId="284AD4EE" w:rsidR="00BC4F73" w:rsidRPr="00FE3E2D" w:rsidRDefault="00BC4F73" w:rsidP="00FE3E2D">
            <w:pPr>
              <w:spacing w:line="360" w:lineRule="exact"/>
              <w:jc w:val="both"/>
              <w:rPr>
                <w:rFonts w:ascii="微軟正黑體" w:eastAsia="微軟正黑體" w:hAnsi="微軟正黑體" w:hint="eastAsia"/>
                <w:sz w:val="26"/>
                <w:szCs w:val="26"/>
              </w:rPr>
            </w:pPr>
            <w:proofErr w:type="gramStart"/>
            <w:r w:rsidRPr="00BC4F73">
              <w:rPr>
                <w:rFonts w:ascii="微軟正黑體" w:eastAsia="微軟正黑體" w:hAnsi="微軟正黑體" w:hint="eastAsia"/>
                <w:sz w:val="26"/>
                <w:szCs w:val="26"/>
              </w:rPr>
              <w:t>邀請創予諮商</w:t>
            </w:r>
            <w:proofErr w:type="gramEnd"/>
            <w:r w:rsidRPr="00BC4F73">
              <w:rPr>
                <w:rFonts w:ascii="微軟正黑體" w:eastAsia="微軟正黑體" w:hAnsi="微軟正黑體" w:hint="eastAsia"/>
                <w:sz w:val="26"/>
                <w:szCs w:val="26"/>
              </w:rPr>
              <w:t>心理師王</w:t>
            </w:r>
            <w:proofErr w:type="gramStart"/>
            <w:r w:rsidRPr="00BC4F73">
              <w:rPr>
                <w:rFonts w:ascii="微軟正黑體" w:eastAsia="微軟正黑體" w:hAnsi="微軟正黑體" w:hint="eastAsia"/>
                <w:sz w:val="26"/>
                <w:szCs w:val="26"/>
              </w:rPr>
              <w:t>姵</w:t>
            </w:r>
            <w:proofErr w:type="gramEnd"/>
            <w:r w:rsidRPr="00BC4F73">
              <w:rPr>
                <w:rFonts w:ascii="微軟正黑體" w:eastAsia="微軟正黑體" w:hAnsi="微軟正黑體" w:hint="eastAsia"/>
                <w:sz w:val="26"/>
                <w:szCs w:val="26"/>
              </w:rPr>
              <w:t>文以「資產配置~</w:t>
            </w:r>
            <w:proofErr w:type="gramStart"/>
            <w:r w:rsidRPr="00BC4F73">
              <w:rPr>
                <w:rFonts w:ascii="微軟正黑體" w:eastAsia="微軟正黑體" w:hAnsi="微軟正黑體" w:hint="eastAsia"/>
                <w:sz w:val="26"/>
                <w:szCs w:val="26"/>
              </w:rPr>
              <w:t>樂活下半場</w:t>
            </w:r>
            <w:proofErr w:type="gramEnd"/>
            <w:r w:rsidRPr="00BC4F73">
              <w:rPr>
                <w:rFonts w:ascii="微軟正黑體" w:eastAsia="微軟正黑體" w:hAnsi="微軟正黑體" w:hint="eastAsia"/>
                <w:sz w:val="26"/>
                <w:szCs w:val="26"/>
              </w:rPr>
              <w:t>」為主題開講。常有人說，銀髮族要靠</w:t>
            </w:r>
            <w:proofErr w:type="gramStart"/>
            <w:r w:rsidRPr="00BC4F73">
              <w:rPr>
                <w:rFonts w:ascii="微軟正黑體" w:eastAsia="微軟正黑體" w:hAnsi="微軟正黑體" w:hint="eastAsia"/>
                <w:sz w:val="26"/>
                <w:szCs w:val="26"/>
              </w:rPr>
              <w:t>自己活出精彩</w:t>
            </w:r>
            <w:proofErr w:type="gramEnd"/>
            <w:r w:rsidRPr="00BC4F73">
              <w:rPr>
                <w:rFonts w:ascii="微軟正黑體" w:eastAsia="微軟正黑體" w:hAnsi="微軟正黑體" w:hint="eastAsia"/>
                <w:sz w:val="26"/>
                <w:szCs w:val="26"/>
              </w:rPr>
              <w:t>的下</w:t>
            </w:r>
            <w:proofErr w:type="gramStart"/>
            <w:r w:rsidRPr="00BC4F73">
              <w:rPr>
                <w:rFonts w:ascii="微軟正黑體" w:eastAsia="微軟正黑體" w:hAnsi="微軟正黑體" w:hint="eastAsia"/>
                <w:sz w:val="26"/>
                <w:szCs w:val="26"/>
              </w:rPr>
              <w:t>半生，</w:t>
            </w:r>
            <w:proofErr w:type="gramEnd"/>
            <w:r w:rsidRPr="00BC4F73">
              <w:rPr>
                <w:rFonts w:ascii="微軟正黑體" w:eastAsia="微軟正黑體" w:hAnsi="微軟正黑體" w:hint="eastAsia"/>
                <w:sz w:val="26"/>
                <w:szCs w:val="26"/>
              </w:rPr>
              <w:t>關鍵在於保持健康、持續學習、參與社交、體驗新事物和發揮創造力。但這一切也是要建立在一定的經濟基礎之上，所以退休後的投資理財是一門重要的必修課，這門課著重在觀念的建立，讓同仁知道深入淺出地剖析</w:t>
            </w:r>
            <w:proofErr w:type="gramStart"/>
            <w:r w:rsidRPr="00BC4F73">
              <w:rPr>
                <w:rFonts w:ascii="微軟正黑體" w:eastAsia="微軟正黑體" w:hAnsi="微軟正黑體" w:hint="eastAsia"/>
                <w:sz w:val="26"/>
                <w:szCs w:val="26"/>
              </w:rPr>
              <w:t>退休族該怎麼</w:t>
            </w:r>
            <w:proofErr w:type="gramEnd"/>
            <w:r w:rsidRPr="00BC4F73">
              <w:rPr>
                <w:rFonts w:ascii="微軟正黑體" w:eastAsia="微軟正黑體" w:hAnsi="微軟正黑體" w:hint="eastAsia"/>
                <w:sz w:val="26"/>
                <w:szCs w:val="26"/>
              </w:rPr>
              <w:t>配置才能輕鬆享受退休。</w:t>
            </w:r>
          </w:p>
        </w:tc>
      </w:tr>
      <w:tr w:rsidR="00E22672" w:rsidRPr="004150F0" w14:paraId="3333373B" w14:textId="77777777" w:rsidTr="006744B1">
        <w:trPr>
          <w:trHeight w:val="3111"/>
        </w:trPr>
        <w:tc>
          <w:tcPr>
            <w:tcW w:w="1838" w:type="dxa"/>
            <w:tcBorders>
              <w:left w:val="thinThickSmallGap" w:sz="24" w:space="0" w:color="auto"/>
            </w:tcBorders>
            <w:vAlign w:val="center"/>
          </w:tcPr>
          <w:p w14:paraId="447DBC74" w14:textId="2D4D4A36" w:rsidR="00E22672" w:rsidRPr="004150F0" w:rsidRDefault="00FE3E2D" w:rsidP="004150F0">
            <w:pPr>
              <w:jc w:val="center"/>
              <w:rPr>
                <w:rFonts w:ascii="微軟正黑體" w:eastAsia="微軟正黑體" w:hAnsi="微軟正黑體"/>
                <w:sz w:val="26"/>
                <w:szCs w:val="26"/>
              </w:rPr>
            </w:pPr>
            <w:r>
              <w:rPr>
                <w:rFonts w:ascii="微軟正黑體" w:eastAsia="微軟正黑體" w:hAnsi="微軟正黑體" w:hint="eastAsia"/>
                <w:sz w:val="26"/>
                <w:szCs w:val="26"/>
              </w:rPr>
              <w:t>5</w:t>
            </w:r>
            <w:r w:rsidR="00E22672" w:rsidRPr="004150F0">
              <w:rPr>
                <w:rFonts w:ascii="微軟正黑體" w:eastAsia="微軟正黑體" w:hAnsi="微軟正黑體" w:hint="eastAsia"/>
                <w:sz w:val="26"/>
                <w:szCs w:val="26"/>
              </w:rPr>
              <w:t>月</w:t>
            </w:r>
            <w:r>
              <w:rPr>
                <w:rFonts w:ascii="微軟正黑體" w:eastAsia="微軟正黑體" w:hAnsi="微軟正黑體" w:hint="eastAsia"/>
                <w:sz w:val="26"/>
                <w:szCs w:val="26"/>
              </w:rPr>
              <w:t>9</w:t>
            </w:r>
            <w:r w:rsidR="00E22672" w:rsidRPr="004150F0">
              <w:rPr>
                <w:rFonts w:ascii="微軟正黑體" w:eastAsia="微軟正黑體" w:hAnsi="微軟正黑體" w:hint="eastAsia"/>
                <w:sz w:val="26"/>
                <w:szCs w:val="26"/>
              </w:rPr>
              <w:t>日</w:t>
            </w:r>
          </w:p>
        </w:tc>
        <w:tc>
          <w:tcPr>
            <w:tcW w:w="2131" w:type="dxa"/>
            <w:vAlign w:val="center"/>
          </w:tcPr>
          <w:p w14:paraId="26B385BC" w14:textId="0F15B5E1" w:rsidR="00E22672" w:rsidRPr="00754F15" w:rsidRDefault="00FE3E2D" w:rsidP="004150F0">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113年環境教育研習－自然作物植栽與加工製作</w:t>
            </w:r>
          </w:p>
        </w:tc>
        <w:tc>
          <w:tcPr>
            <w:tcW w:w="5812" w:type="dxa"/>
            <w:tcBorders>
              <w:right w:val="thickThinSmallGap" w:sz="24" w:space="0" w:color="auto"/>
            </w:tcBorders>
            <w:vAlign w:val="center"/>
          </w:tcPr>
          <w:p w14:paraId="704EDE97" w14:textId="77777777" w:rsidR="00FE3E2D" w:rsidRPr="00FE3E2D" w:rsidRDefault="00FE3E2D" w:rsidP="00FE3E2D">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為推動促進同仁瞭解個人及社會與環境的相互依存關係，增進保護環境之知識、態度及價值觀，培養環境公民與環境學習社群，以強化全民環境認知與責任感，進而達到維護環境生態平衡、尊重生命之宗旨，</w:t>
            </w:r>
            <w:proofErr w:type="gramStart"/>
            <w:r w:rsidRPr="00FE3E2D">
              <w:rPr>
                <w:rFonts w:ascii="微軟正黑體" w:eastAsia="微軟正黑體" w:hAnsi="微軟正黑體" w:hint="eastAsia"/>
                <w:sz w:val="26"/>
                <w:szCs w:val="26"/>
              </w:rPr>
              <w:t>爰</w:t>
            </w:r>
            <w:proofErr w:type="gramEnd"/>
            <w:r w:rsidRPr="00FE3E2D">
              <w:rPr>
                <w:rFonts w:ascii="微軟正黑體" w:eastAsia="微軟正黑體" w:hAnsi="微軟正黑體" w:hint="eastAsia"/>
                <w:sz w:val="26"/>
                <w:szCs w:val="26"/>
              </w:rPr>
              <w:t>規劃辦理系列研習活動。</w:t>
            </w:r>
          </w:p>
          <w:p w14:paraId="501E3DBC" w14:textId="1CBE3048" w:rsidR="00E22672" w:rsidRPr="004150F0" w:rsidRDefault="00FE3E2D" w:rsidP="00FE3E2D">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本次研習活動係與本府建設處合作辦理，</w:t>
            </w:r>
            <w:proofErr w:type="gramStart"/>
            <w:r w:rsidRPr="00FE3E2D">
              <w:rPr>
                <w:rFonts w:ascii="微軟正黑體" w:eastAsia="微軟正黑體" w:hAnsi="微軟正黑體" w:hint="eastAsia"/>
                <w:sz w:val="26"/>
                <w:szCs w:val="26"/>
              </w:rPr>
              <w:t>以食農教育</w:t>
            </w:r>
            <w:proofErr w:type="gramEnd"/>
            <w:r w:rsidRPr="00FE3E2D">
              <w:rPr>
                <w:rFonts w:ascii="微軟正黑體" w:eastAsia="微軟正黑體" w:hAnsi="微軟正黑體" w:hint="eastAsia"/>
                <w:sz w:val="26"/>
                <w:szCs w:val="26"/>
              </w:rPr>
              <w:t>為主軸，讓參與同仁透過手作體驗活動學習瞭解相關作物生長特性及可利用製作之相關產品。</w:t>
            </w:r>
          </w:p>
        </w:tc>
      </w:tr>
      <w:tr w:rsidR="00E22672" w:rsidRPr="004150F0" w14:paraId="13961F76" w14:textId="77777777" w:rsidTr="00FE3E2D">
        <w:trPr>
          <w:trHeight w:val="1409"/>
        </w:trPr>
        <w:tc>
          <w:tcPr>
            <w:tcW w:w="1838" w:type="dxa"/>
            <w:tcBorders>
              <w:left w:val="thinThickSmallGap" w:sz="24" w:space="0" w:color="auto"/>
            </w:tcBorders>
            <w:vAlign w:val="center"/>
          </w:tcPr>
          <w:p w14:paraId="2EA6C01E" w14:textId="45DCC160" w:rsidR="00E22672" w:rsidRPr="004150F0" w:rsidRDefault="00FE3E2D" w:rsidP="004150F0">
            <w:pPr>
              <w:jc w:val="center"/>
              <w:rPr>
                <w:rFonts w:ascii="微軟正黑體" w:eastAsia="微軟正黑體" w:hAnsi="微軟正黑體"/>
                <w:sz w:val="26"/>
                <w:szCs w:val="26"/>
              </w:rPr>
            </w:pPr>
            <w:r>
              <w:rPr>
                <w:rFonts w:ascii="微軟正黑體" w:eastAsia="微軟正黑體" w:hAnsi="微軟正黑體" w:hint="eastAsia"/>
                <w:sz w:val="26"/>
                <w:szCs w:val="26"/>
              </w:rPr>
              <w:t>5</w:t>
            </w:r>
            <w:r w:rsidR="00E22672" w:rsidRPr="004150F0">
              <w:rPr>
                <w:rFonts w:ascii="微軟正黑體" w:eastAsia="微軟正黑體" w:hAnsi="微軟正黑體" w:hint="eastAsia"/>
                <w:sz w:val="26"/>
                <w:szCs w:val="26"/>
              </w:rPr>
              <w:t>月</w:t>
            </w:r>
            <w:r>
              <w:rPr>
                <w:rFonts w:ascii="微軟正黑體" w:eastAsia="微軟正黑體" w:hAnsi="微軟正黑體" w:hint="eastAsia"/>
                <w:sz w:val="26"/>
                <w:szCs w:val="26"/>
              </w:rPr>
              <w:t>1</w:t>
            </w:r>
            <w:r>
              <w:rPr>
                <w:rFonts w:ascii="微軟正黑體" w:eastAsia="微軟正黑體" w:hAnsi="微軟正黑體"/>
                <w:sz w:val="26"/>
                <w:szCs w:val="26"/>
              </w:rPr>
              <w:t>3</w:t>
            </w:r>
            <w:r w:rsidR="00E22672" w:rsidRPr="004150F0">
              <w:rPr>
                <w:rFonts w:ascii="微軟正黑體" w:eastAsia="微軟正黑體" w:hAnsi="微軟正黑體" w:hint="eastAsia"/>
                <w:sz w:val="26"/>
                <w:szCs w:val="26"/>
              </w:rPr>
              <w:t>日</w:t>
            </w:r>
          </w:p>
        </w:tc>
        <w:tc>
          <w:tcPr>
            <w:tcW w:w="2131" w:type="dxa"/>
            <w:vAlign w:val="center"/>
          </w:tcPr>
          <w:p w14:paraId="4E24FB24" w14:textId="765F2E46" w:rsidR="00E22672" w:rsidRPr="004150F0" w:rsidRDefault="00FE3E2D" w:rsidP="004150F0">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本府員工慶生會</w:t>
            </w:r>
          </w:p>
        </w:tc>
        <w:tc>
          <w:tcPr>
            <w:tcW w:w="5812" w:type="dxa"/>
            <w:tcBorders>
              <w:right w:val="thickThinSmallGap" w:sz="24" w:space="0" w:color="auto"/>
            </w:tcBorders>
            <w:vAlign w:val="center"/>
          </w:tcPr>
          <w:p w14:paraId="7BC36F6A" w14:textId="0828CEE9" w:rsidR="00E22672" w:rsidRPr="004150F0" w:rsidRDefault="00FE3E2D" w:rsidP="00FE3E2D">
            <w:pPr>
              <w:spacing w:line="360" w:lineRule="exact"/>
              <w:jc w:val="both"/>
              <w:rPr>
                <w:rFonts w:ascii="微軟正黑體" w:eastAsia="微軟正黑體" w:hAnsi="微軟正黑體"/>
                <w:sz w:val="26"/>
                <w:szCs w:val="26"/>
              </w:rPr>
            </w:pPr>
            <w:r>
              <w:rPr>
                <w:rFonts w:ascii="微軟正黑體" w:eastAsia="微軟正黑體" w:hAnsi="微軟正黑體" w:hint="eastAsia"/>
                <w:sz w:val="26"/>
                <w:szCs w:val="26"/>
              </w:rPr>
              <w:t>於本府大禮堂</w:t>
            </w:r>
            <w:r w:rsidRPr="00FE3E2D">
              <w:rPr>
                <w:rFonts w:ascii="微軟正黑體" w:eastAsia="微軟正黑體" w:hAnsi="微軟正黑體" w:hint="eastAsia"/>
                <w:sz w:val="26"/>
                <w:szCs w:val="26"/>
              </w:rPr>
              <w:t>舉辦</w:t>
            </w:r>
            <w:r>
              <w:rPr>
                <w:rFonts w:ascii="微軟正黑體" w:eastAsia="微軟正黑體" w:hAnsi="微軟正黑體" w:hint="eastAsia"/>
                <w:sz w:val="26"/>
                <w:szCs w:val="26"/>
              </w:rPr>
              <w:t>員工</w:t>
            </w:r>
            <w:r w:rsidRPr="00FE3E2D">
              <w:rPr>
                <w:rFonts w:ascii="微軟正黑體" w:eastAsia="微軟正黑體" w:hAnsi="微軟正黑體" w:hint="eastAsia"/>
                <w:sz w:val="26"/>
                <w:szCs w:val="26"/>
              </w:rPr>
              <w:t>慶生會，</w:t>
            </w:r>
            <w:r>
              <w:rPr>
                <w:rFonts w:ascii="微軟正黑體" w:eastAsia="微軟正黑體" w:hAnsi="微軟正黑體" w:hint="eastAsia"/>
                <w:sz w:val="26"/>
                <w:szCs w:val="26"/>
              </w:rPr>
              <w:t>當</w:t>
            </w:r>
            <w:r w:rsidR="00BC4F73">
              <w:rPr>
                <w:rFonts w:ascii="微軟正黑體" w:eastAsia="微軟正黑體" w:hAnsi="微軟正黑體" w:hint="eastAsia"/>
                <w:sz w:val="26"/>
                <w:szCs w:val="26"/>
              </w:rPr>
              <w:t>日</w:t>
            </w:r>
            <w:r>
              <w:rPr>
                <w:rFonts w:ascii="微軟正黑體" w:eastAsia="微軟正黑體" w:hAnsi="微軟正黑體" w:hint="eastAsia"/>
                <w:sz w:val="26"/>
                <w:szCs w:val="26"/>
              </w:rPr>
              <w:t>由</w:t>
            </w:r>
            <w:proofErr w:type="gramStart"/>
            <w:r w:rsidRPr="00FE3E2D">
              <w:rPr>
                <w:rFonts w:ascii="微軟正黑體" w:eastAsia="微軟正黑體" w:hAnsi="微軟正黑體" w:hint="eastAsia"/>
                <w:sz w:val="26"/>
                <w:szCs w:val="26"/>
              </w:rPr>
              <w:t>王登緯代理</w:t>
            </w:r>
            <w:proofErr w:type="gramEnd"/>
            <w:r w:rsidRPr="00FE3E2D">
              <w:rPr>
                <w:rFonts w:ascii="微軟正黑體" w:eastAsia="微軟正黑體" w:hAnsi="微軟正黑體" w:hint="eastAsia"/>
                <w:sz w:val="26"/>
                <w:szCs w:val="26"/>
              </w:rPr>
              <w:t>秘書長</w:t>
            </w:r>
            <w:r>
              <w:rPr>
                <w:rFonts w:ascii="微軟正黑體" w:eastAsia="微軟正黑體" w:hAnsi="微軟正黑體" w:hint="eastAsia"/>
                <w:sz w:val="26"/>
                <w:szCs w:val="26"/>
              </w:rPr>
              <w:t>主持，</w:t>
            </w:r>
            <w:r w:rsidRPr="00FE3E2D">
              <w:rPr>
                <w:rFonts w:ascii="微軟正黑體" w:eastAsia="微軟正黑體" w:hAnsi="微軟正黑體" w:hint="eastAsia"/>
                <w:sz w:val="26"/>
                <w:szCs w:val="26"/>
              </w:rPr>
              <w:t>現場</w:t>
            </w:r>
            <w:r>
              <w:rPr>
                <w:rFonts w:ascii="微軟正黑體" w:eastAsia="微軟正黑體" w:hAnsi="微軟正黑體" w:hint="eastAsia"/>
                <w:sz w:val="26"/>
                <w:szCs w:val="26"/>
              </w:rPr>
              <w:t>除了</w:t>
            </w:r>
            <w:r w:rsidRPr="00FE3E2D">
              <w:rPr>
                <w:rFonts w:ascii="微軟正黑體" w:eastAsia="微軟正黑體" w:hAnsi="微軟正黑體" w:hint="eastAsia"/>
                <w:sz w:val="26"/>
                <w:szCs w:val="26"/>
              </w:rPr>
              <w:t>摸彩活動</w:t>
            </w:r>
            <w:r>
              <w:rPr>
                <w:rFonts w:ascii="微軟正黑體" w:eastAsia="微軟正黑體" w:hAnsi="微軟正黑體" w:hint="eastAsia"/>
                <w:sz w:val="26"/>
                <w:szCs w:val="26"/>
              </w:rPr>
              <w:t>，更</w:t>
            </w:r>
            <w:r w:rsidRPr="00FE3E2D">
              <w:rPr>
                <w:rFonts w:ascii="微軟正黑體" w:eastAsia="微軟正黑體" w:hAnsi="微軟正黑體" w:hint="eastAsia"/>
                <w:sz w:val="26"/>
                <w:szCs w:val="26"/>
              </w:rPr>
              <w:t>準備了豐富美味的餐點</w:t>
            </w:r>
            <w:r>
              <w:rPr>
                <w:rFonts w:ascii="微軟正黑體" w:eastAsia="微軟正黑體" w:hAnsi="微軟正黑體" w:hint="eastAsia"/>
                <w:sz w:val="26"/>
                <w:szCs w:val="26"/>
              </w:rPr>
              <w:t>，</w:t>
            </w:r>
            <w:r w:rsidRPr="00FE3E2D">
              <w:rPr>
                <w:rFonts w:ascii="微軟正黑體" w:eastAsia="微軟正黑體" w:hAnsi="微軟正黑體" w:hint="eastAsia"/>
                <w:sz w:val="26"/>
                <w:szCs w:val="26"/>
              </w:rPr>
              <w:t>場面熱鬧、氣氛溫馨。</w:t>
            </w:r>
          </w:p>
        </w:tc>
      </w:tr>
      <w:tr w:rsidR="00FE3E2D" w:rsidRPr="004150F0" w14:paraId="2C1ED797" w14:textId="77777777" w:rsidTr="006744B1">
        <w:trPr>
          <w:trHeight w:val="1266"/>
        </w:trPr>
        <w:tc>
          <w:tcPr>
            <w:tcW w:w="1838" w:type="dxa"/>
            <w:tcBorders>
              <w:left w:val="thinThickSmallGap" w:sz="24" w:space="0" w:color="auto"/>
            </w:tcBorders>
            <w:vAlign w:val="center"/>
          </w:tcPr>
          <w:p w14:paraId="35E36074" w14:textId="15A90AE4" w:rsidR="00FE3E2D" w:rsidRPr="004150F0" w:rsidRDefault="00FE3E2D" w:rsidP="00FE3E2D">
            <w:pPr>
              <w:jc w:val="center"/>
              <w:rPr>
                <w:rFonts w:ascii="微軟正黑體" w:eastAsia="微軟正黑體" w:hAnsi="微軟正黑體"/>
                <w:sz w:val="26"/>
                <w:szCs w:val="26"/>
              </w:rPr>
            </w:pPr>
            <w:r>
              <w:rPr>
                <w:rFonts w:ascii="微軟正黑體" w:eastAsia="微軟正黑體" w:hAnsi="微軟正黑體" w:hint="eastAsia"/>
                <w:sz w:val="26"/>
                <w:szCs w:val="26"/>
              </w:rPr>
              <w:t>5</w:t>
            </w:r>
            <w:r w:rsidRPr="004150F0">
              <w:rPr>
                <w:rFonts w:ascii="微軟正黑體" w:eastAsia="微軟正黑體" w:hAnsi="微軟正黑體" w:hint="eastAsia"/>
                <w:sz w:val="26"/>
                <w:szCs w:val="26"/>
              </w:rPr>
              <w:t>月</w:t>
            </w:r>
            <w:r>
              <w:rPr>
                <w:rFonts w:ascii="微軟正黑體" w:eastAsia="微軟正黑體" w:hAnsi="微軟正黑體" w:hint="eastAsia"/>
                <w:sz w:val="26"/>
                <w:szCs w:val="26"/>
              </w:rPr>
              <w:t>1</w:t>
            </w:r>
            <w:r>
              <w:rPr>
                <w:rFonts w:ascii="微軟正黑體" w:eastAsia="微軟正黑體" w:hAnsi="微軟正黑體"/>
                <w:sz w:val="26"/>
                <w:szCs w:val="26"/>
              </w:rPr>
              <w:t>4</w:t>
            </w:r>
            <w:r w:rsidRPr="004150F0">
              <w:rPr>
                <w:rFonts w:ascii="微軟正黑體" w:eastAsia="微軟正黑體" w:hAnsi="微軟正黑體" w:hint="eastAsia"/>
                <w:sz w:val="26"/>
                <w:szCs w:val="26"/>
              </w:rPr>
              <w:t>日</w:t>
            </w:r>
          </w:p>
        </w:tc>
        <w:tc>
          <w:tcPr>
            <w:tcW w:w="2131" w:type="dxa"/>
            <w:vAlign w:val="center"/>
          </w:tcPr>
          <w:p w14:paraId="6EF804F9" w14:textId="11139A9B" w:rsidR="00FE3E2D" w:rsidRPr="004150F0" w:rsidRDefault="00FE3E2D" w:rsidP="00FE3E2D">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t>113年性別意識培力與性平議題研習－性騷擾防</w:t>
            </w:r>
            <w:r w:rsidRPr="00FE3E2D">
              <w:rPr>
                <w:rFonts w:ascii="微軟正黑體" w:eastAsia="微軟正黑體" w:hAnsi="微軟正黑體" w:hint="eastAsia"/>
                <w:sz w:val="26"/>
                <w:szCs w:val="26"/>
              </w:rPr>
              <w:lastRenderedPageBreak/>
              <w:t>治與調查處理</w:t>
            </w:r>
          </w:p>
        </w:tc>
        <w:tc>
          <w:tcPr>
            <w:tcW w:w="5812" w:type="dxa"/>
            <w:tcBorders>
              <w:right w:val="thickThinSmallGap" w:sz="24" w:space="0" w:color="auto"/>
            </w:tcBorders>
            <w:vAlign w:val="center"/>
          </w:tcPr>
          <w:p w14:paraId="3BE3C58F" w14:textId="381EF49D" w:rsidR="00FE3E2D" w:rsidRPr="004150F0" w:rsidRDefault="00FE3E2D" w:rsidP="00FE3E2D">
            <w:pPr>
              <w:spacing w:line="360" w:lineRule="exact"/>
              <w:jc w:val="both"/>
              <w:rPr>
                <w:rFonts w:ascii="微軟正黑體" w:eastAsia="微軟正黑體" w:hAnsi="微軟正黑體"/>
                <w:sz w:val="26"/>
                <w:szCs w:val="26"/>
              </w:rPr>
            </w:pPr>
            <w:r w:rsidRPr="00FE3E2D">
              <w:rPr>
                <w:rFonts w:ascii="微軟正黑體" w:eastAsia="微軟正黑體" w:hAnsi="微軟正黑體" w:hint="eastAsia"/>
                <w:sz w:val="26"/>
                <w:szCs w:val="26"/>
              </w:rPr>
              <w:lastRenderedPageBreak/>
              <w:t>聘邀財團法人中華勞資關係研究所所長、中央研究院歐美研究所兼任研究員</w:t>
            </w:r>
            <w:proofErr w:type="gramStart"/>
            <w:r w:rsidRPr="00FE3E2D">
              <w:rPr>
                <w:rFonts w:ascii="微軟正黑體" w:eastAsia="微軟正黑體" w:hAnsi="微軟正黑體" w:hint="eastAsia"/>
                <w:sz w:val="26"/>
                <w:szCs w:val="26"/>
              </w:rPr>
              <w:t>—焦興鎧</w:t>
            </w:r>
            <w:proofErr w:type="gramEnd"/>
            <w:r w:rsidRPr="00FE3E2D">
              <w:rPr>
                <w:rFonts w:ascii="微軟正黑體" w:eastAsia="微軟正黑體" w:hAnsi="微軟正黑體" w:hint="eastAsia"/>
                <w:sz w:val="26"/>
                <w:szCs w:val="26"/>
              </w:rPr>
              <w:t>教授擔任講座。</w:t>
            </w:r>
            <w:proofErr w:type="gramStart"/>
            <w:r w:rsidRPr="00FE3E2D">
              <w:rPr>
                <w:rFonts w:ascii="微軟正黑體" w:eastAsia="微軟正黑體" w:hAnsi="微軟正黑體" w:hint="eastAsia"/>
                <w:sz w:val="26"/>
                <w:szCs w:val="26"/>
              </w:rPr>
              <w:t>為應性平</w:t>
            </w:r>
            <w:proofErr w:type="gramEnd"/>
            <w:r w:rsidRPr="00FE3E2D">
              <w:rPr>
                <w:rFonts w:ascii="微軟正黑體" w:eastAsia="微軟正黑體" w:hAnsi="微軟正黑體" w:hint="eastAsia"/>
                <w:sz w:val="26"/>
                <w:szCs w:val="26"/>
              </w:rPr>
              <w:t>三法修法及對性騷擾相關課題之日漸</w:t>
            </w:r>
            <w:r w:rsidRPr="00FE3E2D">
              <w:rPr>
                <w:rFonts w:ascii="微軟正黑體" w:eastAsia="微軟正黑體" w:hAnsi="微軟正黑體" w:hint="eastAsia"/>
                <w:sz w:val="26"/>
                <w:szCs w:val="26"/>
              </w:rPr>
              <w:lastRenderedPageBreak/>
              <w:t>重視，強化並促進公務同仁對性騷擾防治之基本概念、相關法規及調查處理流程的認識；提升公務同仁的性別意識及性別敏感度，瞭解性別相關重要議題的內涵及相關政策舉措，以促進性別地位之實質平等，進而營造性別平權的工作環境。</w:t>
            </w:r>
          </w:p>
        </w:tc>
      </w:tr>
      <w:tr w:rsidR="00BC4F73" w:rsidRPr="004150F0" w14:paraId="049E1DE3" w14:textId="77777777" w:rsidTr="004150F0">
        <w:trPr>
          <w:trHeight w:val="557"/>
        </w:trPr>
        <w:tc>
          <w:tcPr>
            <w:tcW w:w="1838" w:type="dxa"/>
            <w:tcBorders>
              <w:left w:val="thinThickSmallGap" w:sz="24" w:space="0" w:color="auto"/>
            </w:tcBorders>
            <w:vAlign w:val="center"/>
          </w:tcPr>
          <w:p w14:paraId="04CAE937" w14:textId="62E5F6B2" w:rsidR="00BC4F73" w:rsidRDefault="00BC4F73" w:rsidP="00FE3E2D">
            <w:pPr>
              <w:jc w:val="center"/>
              <w:rPr>
                <w:rFonts w:ascii="微軟正黑體" w:eastAsia="微軟正黑體" w:hAnsi="微軟正黑體" w:hint="eastAsia"/>
                <w:sz w:val="26"/>
                <w:szCs w:val="26"/>
              </w:rPr>
            </w:pPr>
            <w:r>
              <w:rPr>
                <w:rFonts w:ascii="微軟正黑體" w:eastAsia="微軟正黑體" w:hAnsi="微軟正黑體" w:hint="eastAsia"/>
                <w:sz w:val="26"/>
                <w:szCs w:val="26"/>
              </w:rPr>
              <w:lastRenderedPageBreak/>
              <w:t>5月20日</w:t>
            </w:r>
          </w:p>
        </w:tc>
        <w:tc>
          <w:tcPr>
            <w:tcW w:w="2131" w:type="dxa"/>
            <w:vAlign w:val="center"/>
          </w:tcPr>
          <w:p w14:paraId="77618CDD" w14:textId="0030D8CD" w:rsidR="00BC4F73" w:rsidRPr="006D0485" w:rsidRDefault="00BC4F73" w:rsidP="00FE3E2D">
            <w:pPr>
              <w:spacing w:line="360" w:lineRule="exact"/>
              <w:jc w:val="both"/>
              <w:rPr>
                <w:rFonts w:ascii="微軟正黑體" w:eastAsia="微軟正黑體" w:hAnsi="微軟正黑體" w:hint="eastAsia"/>
                <w:sz w:val="26"/>
                <w:szCs w:val="26"/>
              </w:rPr>
            </w:pPr>
            <w:r w:rsidRPr="00BC4F73">
              <w:rPr>
                <w:rFonts w:ascii="微軟正黑體" w:eastAsia="微軟正黑體" w:hAnsi="微軟正黑體" w:hint="eastAsia"/>
                <w:sz w:val="26"/>
                <w:szCs w:val="26"/>
              </w:rPr>
              <w:t>員工協助方案-雙贏溝通與職場衝突化解技巧</w:t>
            </w:r>
          </w:p>
        </w:tc>
        <w:tc>
          <w:tcPr>
            <w:tcW w:w="5812" w:type="dxa"/>
            <w:tcBorders>
              <w:right w:val="thickThinSmallGap" w:sz="24" w:space="0" w:color="auto"/>
            </w:tcBorders>
            <w:vAlign w:val="center"/>
          </w:tcPr>
          <w:p w14:paraId="7465E8BA" w14:textId="15748934" w:rsidR="00BC4F73" w:rsidRPr="006D0485" w:rsidRDefault="00BC4F73" w:rsidP="00FE3E2D">
            <w:pPr>
              <w:spacing w:beforeLines="50" w:before="180" w:afterLines="50" w:after="180" w:line="360" w:lineRule="exact"/>
              <w:jc w:val="both"/>
              <w:rPr>
                <w:rFonts w:ascii="微軟正黑體" w:eastAsia="微軟正黑體" w:hAnsi="微軟正黑體" w:hint="eastAsia"/>
                <w:sz w:val="26"/>
                <w:szCs w:val="26"/>
              </w:rPr>
            </w:pPr>
            <w:proofErr w:type="gramStart"/>
            <w:r w:rsidRPr="00BC4F73">
              <w:rPr>
                <w:rFonts w:ascii="微軟正黑體" w:eastAsia="微軟正黑體" w:hAnsi="微軟正黑體" w:hint="eastAsia"/>
                <w:sz w:val="26"/>
                <w:szCs w:val="26"/>
              </w:rPr>
              <w:t>邀請創予諮商</w:t>
            </w:r>
            <w:proofErr w:type="gramEnd"/>
            <w:r w:rsidRPr="00BC4F73">
              <w:rPr>
                <w:rFonts w:ascii="微軟正黑體" w:eastAsia="微軟正黑體" w:hAnsi="微軟正黑體" w:hint="eastAsia"/>
                <w:sz w:val="26"/>
                <w:szCs w:val="26"/>
              </w:rPr>
              <w:t>心理師</w:t>
            </w:r>
            <w:proofErr w:type="gramStart"/>
            <w:r w:rsidRPr="00BC4F73">
              <w:rPr>
                <w:rFonts w:ascii="微軟正黑體" w:eastAsia="微軟正黑體" w:hAnsi="微軟正黑體" w:hint="eastAsia"/>
                <w:sz w:val="26"/>
                <w:szCs w:val="26"/>
              </w:rPr>
              <w:t>鍾育騰</w:t>
            </w:r>
            <w:proofErr w:type="gramEnd"/>
            <w:r w:rsidRPr="00BC4F73">
              <w:rPr>
                <w:rFonts w:ascii="微軟正黑體" w:eastAsia="微軟正黑體" w:hAnsi="微軟正黑體" w:hint="eastAsia"/>
                <w:sz w:val="26"/>
                <w:szCs w:val="26"/>
              </w:rPr>
              <w:t>以「雙贏溝通與職場衝突化解技巧」為主題開講。身處競爭激烈的職場中，每位工作者皆須頻繁地與上司、同事、部屬及民眾反覆交流互動。如何做好完善的溝通協調，於職場和平共事；以及面對各種衝突時如何有效的因應及圓滿的處理，本課程透過</w:t>
            </w:r>
            <w:proofErr w:type="gramStart"/>
            <w:r w:rsidRPr="00BC4F73">
              <w:rPr>
                <w:rFonts w:ascii="微軟正黑體" w:eastAsia="微軟正黑體" w:hAnsi="微軟正黑體" w:hint="eastAsia"/>
                <w:sz w:val="26"/>
                <w:szCs w:val="26"/>
              </w:rPr>
              <w:t>鍾</w:t>
            </w:r>
            <w:proofErr w:type="gramEnd"/>
            <w:r w:rsidRPr="00BC4F73">
              <w:rPr>
                <w:rFonts w:ascii="微軟正黑體" w:eastAsia="微軟正黑體" w:hAnsi="微軟正黑體" w:hint="eastAsia"/>
                <w:sz w:val="26"/>
                <w:szCs w:val="26"/>
              </w:rPr>
              <w:t>老師提升職場溝通協調與自我認知，</w:t>
            </w:r>
            <w:proofErr w:type="gramStart"/>
            <w:r w:rsidRPr="00BC4F73">
              <w:rPr>
                <w:rFonts w:ascii="微軟正黑體" w:eastAsia="微軟正黑體" w:hAnsi="微軟正黑體" w:hint="eastAsia"/>
                <w:sz w:val="26"/>
                <w:szCs w:val="26"/>
              </w:rPr>
              <w:t>學習正念傾聽</w:t>
            </w:r>
            <w:proofErr w:type="gramEnd"/>
            <w:r w:rsidRPr="00BC4F73">
              <w:rPr>
                <w:rFonts w:ascii="微軟正黑體" w:eastAsia="微軟正黑體" w:hAnsi="微軟正黑體" w:hint="eastAsia"/>
                <w:sz w:val="26"/>
                <w:szCs w:val="26"/>
              </w:rPr>
              <w:t>，創造組織內外各部門雙贏成長，學習共識、調整心態，提升同仁職場人際及跨部門溝通，化解組織及部門衝突，創造職場雙贏。</w:t>
            </w:r>
          </w:p>
        </w:tc>
      </w:tr>
      <w:tr w:rsidR="00BC4F73" w:rsidRPr="004150F0" w14:paraId="3827FC97" w14:textId="77777777" w:rsidTr="006744B1">
        <w:trPr>
          <w:trHeight w:val="2725"/>
        </w:trPr>
        <w:tc>
          <w:tcPr>
            <w:tcW w:w="1838" w:type="dxa"/>
            <w:tcBorders>
              <w:left w:val="thinThickSmallGap" w:sz="24" w:space="0" w:color="auto"/>
              <w:bottom w:val="thickThinSmallGap" w:sz="24" w:space="0" w:color="auto"/>
            </w:tcBorders>
            <w:vAlign w:val="center"/>
          </w:tcPr>
          <w:p w14:paraId="2C8C0519" w14:textId="557383B9" w:rsidR="00BC4F73" w:rsidRPr="004150F0" w:rsidRDefault="00BC4F73" w:rsidP="00BC4F73">
            <w:pPr>
              <w:jc w:val="center"/>
              <w:rPr>
                <w:rFonts w:ascii="微軟正黑體" w:eastAsia="微軟正黑體" w:hAnsi="微軟正黑體"/>
                <w:sz w:val="26"/>
                <w:szCs w:val="26"/>
              </w:rPr>
            </w:pPr>
            <w:r>
              <w:rPr>
                <w:rFonts w:ascii="微軟正黑體" w:eastAsia="微軟正黑體" w:hAnsi="微軟正黑體" w:hint="eastAsia"/>
                <w:sz w:val="26"/>
                <w:szCs w:val="26"/>
              </w:rPr>
              <w:t>5</w:t>
            </w:r>
            <w:r w:rsidRPr="004150F0">
              <w:rPr>
                <w:rFonts w:ascii="微軟正黑體" w:eastAsia="微軟正黑體" w:hAnsi="微軟正黑體" w:hint="eastAsia"/>
                <w:sz w:val="26"/>
                <w:szCs w:val="26"/>
              </w:rPr>
              <w:t>月</w:t>
            </w:r>
            <w:r>
              <w:rPr>
                <w:rFonts w:ascii="微軟正黑體" w:eastAsia="微軟正黑體" w:hAnsi="微軟正黑體" w:hint="eastAsia"/>
                <w:sz w:val="26"/>
                <w:szCs w:val="26"/>
              </w:rPr>
              <w:t>31</w:t>
            </w:r>
            <w:r w:rsidRPr="004150F0">
              <w:rPr>
                <w:rFonts w:ascii="微軟正黑體" w:eastAsia="微軟正黑體" w:hAnsi="微軟正黑體" w:hint="eastAsia"/>
                <w:sz w:val="26"/>
                <w:szCs w:val="26"/>
              </w:rPr>
              <w:t>日</w:t>
            </w:r>
          </w:p>
        </w:tc>
        <w:tc>
          <w:tcPr>
            <w:tcW w:w="2131" w:type="dxa"/>
            <w:tcBorders>
              <w:bottom w:val="thickThinSmallGap" w:sz="24" w:space="0" w:color="auto"/>
            </w:tcBorders>
            <w:vAlign w:val="center"/>
          </w:tcPr>
          <w:p w14:paraId="12AC480E" w14:textId="4B9122B4" w:rsidR="00BC4F73" w:rsidRPr="004150F0" w:rsidRDefault="00BC4F73" w:rsidP="00BC4F73">
            <w:pPr>
              <w:spacing w:line="360" w:lineRule="exact"/>
              <w:jc w:val="both"/>
              <w:rPr>
                <w:rFonts w:ascii="微軟正黑體" w:eastAsia="微軟正黑體" w:hAnsi="微軟正黑體"/>
                <w:sz w:val="26"/>
                <w:szCs w:val="26"/>
              </w:rPr>
            </w:pPr>
            <w:r w:rsidRPr="006D0485">
              <w:rPr>
                <w:rFonts w:ascii="微軟正黑體" w:eastAsia="微軟正黑體" w:hAnsi="微軟正黑體" w:hint="eastAsia"/>
                <w:sz w:val="26"/>
                <w:szCs w:val="26"/>
              </w:rPr>
              <w:t>113年核心職能與專業素養研習－行政程序法之適用與案例解析</w:t>
            </w:r>
          </w:p>
        </w:tc>
        <w:tc>
          <w:tcPr>
            <w:tcW w:w="5812" w:type="dxa"/>
            <w:tcBorders>
              <w:bottom w:val="thickThinSmallGap" w:sz="24" w:space="0" w:color="auto"/>
              <w:right w:val="thickThinSmallGap" w:sz="24" w:space="0" w:color="auto"/>
            </w:tcBorders>
            <w:vAlign w:val="center"/>
          </w:tcPr>
          <w:p w14:paraId="76550EDC" w14:textId="19ED2CB5" w:rsidR="00BC4F73" w:rsidRPr="004150F0" w:rsidRDefault="00BC4F73" w:rsidP="00BC4F73">
            <w:pPr>
              <w:spacing w:line="360" w:lineRule="exact"/>
              <w:jc w:val="both"/>
              <w:rPr>
                <w:rFonts w:ascii="微軟正黑體" w:eastAsia="微軟正黑體" w:hAnsi="微軟正黑體"/>
                <w:sz w:val="26"/>
                <w:szCs w:val="26"/>
              </w:rPr>
            </w:pPr>
            <w:r w:rsidRPr="006D0485">
              <w:rPr>
                <w:rFonts w:ascii="微軟正黑體" w:eastAsia="微軟正黑體" w:hAnsi="微軟正黑體" w:hint="eastAsia"/>
                <w:sz w:val="26"/>
                <w:szCs w:val="26"/>
              </w:rPr>
              <w:t>聘邀中央選舉委員會陳朝建副主任委員擔任講座。陳副主委在行政程序法領域擁有豐富的專業知識和實踐經驗。在本次研習課程中先講解行政程序法的基本原則、程序要求以及相關法律條文的具體適用情形，並透過實際案例分析讓上課同仁能更加深入理解法律規定的應用方式、實際操作和應注意事項。</w:t>
            </w:r>
          </w:p>
        </w:tc>
      </w:tr>
    </w:tbl>
    <w:p w14:paraId="2A43298F" w14:textId="502CF2CA" w:rsidR="00160C73" w:rsidRDefault="00160C73"/>
    <w:sectPr w:rsidR="00160C73" w:rsidSect="004150F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7208" w14:textId="77777777" w:rsidR="007E23C7" w:rsidRDefault="007E23C7" w:rsidP="004E4303">
      <w:r>
        <w:separator/>
      </w:r>
    </w:p>
  </w:endnote>
  <w:endnote w:type="continuationSeparator" w:id="0">
    <w:p w14:paraId="36ADBD03" w14:textId="77777777" w:rsidR="007E23C7" w:rsidRDefault="007E23C7" w:rsidP="004E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W">
    <w:altName w:val="微軟正黑體"/>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5CFA" w14:textId="77777777" w:rsidR="007E23C7" w:rsidRDefault="007E23C7" w:rsidP="004E4303">
      <w:r>
        <w:separator/>
      </w:r>
    </w:p>
  </w:footnote>
  <w:footnote w:type="continuationSeparator" w:id="0">
    <w:p w14:paraId="5CBBB03C" w14:textId="77777777" w:rsidR="007E23C7" w:rsidRDefault="007E23C7" w:rsidP="004E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2"/>
    <w:rsid w:val="00156E53"/>
    <w:rsid w:val="00160C73"/>
    <w:rsid w:val="004150F0"/>
    <w:rsid w:val="00434C7A"/>
    <w:rsid w:val="004B4C4C"/>
    <w:rsid w:val="004D07C9"/>
    <w:rsid w:val="004E4303"/>
    <w:rsid w:val="006744B1"/>
    <w:rsid w:val="006D0485"/>
    <w:rsid w:val="00754F15"/>
    <w:rsid w:val="007E23C7"/>
    <w:rsid w:val="00820F4E"/>
    <w:rsid w:val="0083398A"/>
    <w:rsid w:val="00A712C9"/>
    <w:rsid w:val="00AF5657"/>
    <w:rsid w:val="00BC4F73"/>
    <w:rsid w:val="00E22672"/>
    <w:rsid w:val="00E569CC"/>
    <w:rsid w:val="00F83B37"/>
    <w:rsid w:val="00FE3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F4F0"/>
  <w15:chartTrackingRefBased/>
  <w15:docId w15:val="{572F4D72-1D7B-4930-AD66-531CEA1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2672"/>
    <w:pPr>
      <w:widowControl w:val="0"/>
      <w:autoSpaceDE w:val="0"/>
      <w:autoSpaceDN w:val="0"/>
      <w:adjustRightInd w:val="0"/>
    </w:pPr>
    <w:rPr>
      <w:rFonts w:ascii="TW" w:eastAsia="TW" w:cs="TW"/>
      <w:color w:val="000000"/>
      <w:kern w:val="0"/>
      <w:szCs w:val="24"/>
    </w:rPr>
  </w:style>
  <w:style w:type="paragraph" w:styleId="a4">
    <w:name w:val="header"/>
    <w:basedOn w:val="a"/>
    <w:link w:val="a5"/>
    <w:uiPriority w:val="99"/>
    <w:unhideWhenUsed/>
    <w:rsid w:val="004E4303"/>
    <w:pPr>
      <w:tabs>
        <w:tab w:val="center" w:pos="4153"/>
        <w:tab w:val="right" w:pos="8306"/>
      </w:tabs>
      <w:snapToGrid w:val="0"/>
    </w:pPr>
    <w:rPr>
      <w:sz w:val="20"/>
      <w:szCs w:val="20"/>
    </w:rPr>
  </w:style>
  <w:style w:type="character" w:customStyle="1" w:styleId="a5">
    <w:name w:val="頁首 字元"/>
    <w:basedOn w:val="a0"/>
    <w:link w:val="a4"/>
    <w:uiPriority w:val="99"/>
    <w:rsid w:val="004E4303"/>
    <w:rPr>
      <w:sz w:val="20"/>
      <w:szCs w:val="20"/>
    </w:rPr>
  </w:style>
  <w:style w:type="paragraph" w:styleId="a6">
    <w:name w:val="footer"/>
    <w:basedOn w:val="a"/>
    <w:link w:val="a7"/>
    <w:uiPriority w:val="99"/>
    <w:unhideWhenUsed/>
    <w:rsid w:val="004E4303"/>
    <w:pPr>
      <w:tabs>
        <w:tab w:val="center" w:pos="4153"/>
        <w:tab w:val="right" w:pos="8306"/>
      </w:tabs>
      <w:snapToGrid w:val="0"/>
    </w:pPr>
    <w:rPr>
      <w:sz w:val="20"/>
      <w:szCs w:val="20"/>
    </w:rPr>
  </w:style>
  <w:style w:type="character" w:customStyle="1" w:styleId="a7">
    <w:name w:val="頁尾 字元"/>
    <w:basedOn w:val="a0"/>
    <w:link w:val="a6"/>
    <w:uiPriority w:val="99"/>
    <w:rsid w:val="004E43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陳怡庭</dc:creator>
  <cp:keywords/>
  <dc:description/>
  <cp:lastModifiedBy>陳怡庭</cp:lastModifiedBy>
  <cp:revision>11</cp:revision>
  <dcterms:created xsi:type="dcterms:W3CDTF">2024-05-20T05:59:00Z</dcterms:created>
  <dcterms:modified xsi:type="dcterms:W3CDTF">2024-06-06T02:37:00Z</dcterms:modified>
</cp:coreProperties>
</file>