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781" w:type="dxa"/>
        <w:tblLook w:val="04A0" w:firstRow="1" w:lastRow="0" w:firstColumn="1" w:lastColumn="0" w:noHBand="0" w:noVBand="1"/>
      </w:tblPr>
      <w:tblGrid>
        <w:gridCol w:w="1838"/>
        <w:gridCol w:w="2131"/>
        <w:gridCol w:w="5812"/>
      </w:tblGrid>
      <w:tr w:rsidR="00E22672" w:rsidRPr="004150F0" w14:paraId="6CBA9545" w14:textId="77777777" w:rsidTr="004150F0">
        <w:trPr>
          <w:trHeight w:val="1276"/>
        </w:trPr>
        <w:tc>
          <w:tcPr>
            <w:tcW w:w="9781" w:type="dxa"/>
            <w:gridSpan w:val="3"/>
            <w:tcBorders>
              <w:top w:val="nil"/>
              <w:left w:val="nil"/>
              <w:bottom w:val="thinThickSmallGap" w:sz="24" w:space="0" w:color="auto"/>
              <w:right w:val="nil"/>
            </w:tcBorders>
            <w:vAlign w:val="center"/>
          </w:tcPr>
          <w:p w14:paraId="166B689E" w14:textId="412D0731" w:rsidR="00E22672" w:rsidRPr="004150F0" w:rsidRDefault="00E22672" w:rsidP="004150F0">
            <w:pPr>
              <w:jc w:val="center"/>
              <w:rPr>
                <w:rFonts w:ascii="微軟正黑體" w:eastAsia="微軟正黑體" w:hAnsi="微軟正黑體"/>
                <w:b/>
                <w:bCs/>
                <w:sz w:val="32"/>
                <w:szCs w:val="32"/>
              </w:rPr>
            </w:pPr>
            <w:r w:rsidRPr="004150F0">
              <w:rPr>
                <w:rFonts w:ascii="微軟正黑體" w:eastAsia="微軟正黑體" w:hAnsi="微軟正黑體" w:hint="eastAsia"/>
                <w:b/>
                <w:bCs/>
                <w:sz w:val="32"/>
                <w:szCs w:val="32"/>
              </w:rPr>
              <w:t>金門縣</w:t>
            </w:r>
            <w:r w:rsidRPr="004150F0">
              <w:rPr>
                <w:rFonts w:ascii="微軟正黑體" w:eastAsia="微軟正黑體" w:hAnsi="微軟正黑體"/>
                <w:b/>
                <w:bCs/>
                <w:sz w:val="32"/>
                <w:szCs w:val="32"/>
              </w:rPr>
              <w:t>政府人事處113年</w:t>
            </w:r>
            <w:r w:rsidR="00E569CC" w:rsidRPr="004150F0">
              <w:rPr>
                <w:rFonts w:ascii="微軟正黑體" w:eastAsia="微軟正黑體" w:hAnsi="微軟正黑體" w:hint="eastAsia"/>
                <w:b/>
                <w:bCs/>
                <w:sz w:val="32"/>
                <w:szCs w:val="32"/>
              </w:rPr>
              <w:t>4</w:t>
            </w:r>
            <w:r w:rsidRPr="004150F0">
              <w:rPr>
                <w:rFonts w:ascii="微軟正黑體" w:eastAsia="微軟正黑體" w:hAnsi="微軟正黑體"/>
                <w:b/>
                <w:bCs/>
                <w:sz w:val="32"/>
                <w:szCs w:val="32"/>
              </w:rPr>
              <w:t>月份大事</w:t>
            </w:r>
            <w:r w:rsidRPr="004150F0">
              <w:rPr>
                <w:rFonts w:ascii="微軟正黑體" w:eastAsia="微軟正黑體" w:hAnsi="微軟正黑體" w:hint="eastAsia"/>
                <w:b/>
                <w:bCs/>
                <w:sz w:val="32"/>
                <w:szCs w:val="32"/>
              </w:rPr>
              <w:t>紀</w:t>
            </w:r>
          </w:p>
          <w:p w14:paraId="63F94435" w14:textId="444C72E4" w:rsidR="00E22672" w:rsidRPr="00754F15" w:rsidRDefault="00E22672" w:rsidP="004150F0">
            <w:pPr>
              <w:spacing w:line="360" w:lineRule="exact"/>
              <w:jc w:val="center"/>
              <w:rPr>
                <w:rFonts w:ascii="微軟正黑體" w:eastAsia="微軟正黑體" w:hAnsi="微軟正黑體"/>
                <w:sz w:val="26"/>
                <w:szCs w:val="26"/>
              </w:rPr>
            </w:pPr>
            <w:r w:rsidRPr="00754F15">
              <w:rPr>
                <w:rFonts w:ascii="微軟正黑體" w:eastAsia="微軟正黑體" w:hAnsi="微軟正黑體"/>
                <w:sz w:val="26"/>
                <w:szCs w:val="26"/>
              </w:rPr>
              <w:t>（113年</w:t>
            </w:r>
            <w:r w:rsidR="00E569CC" w:rsidRPr="00754F15">
              <w:rPr>
                <w:rFonts w:ascii="微軟正黑體" w:eastAsia="微軟正黑體" w:hAnsi="微軟正黑體" w:hint="eastAsia"/>
                <w:sz w:val="26"/>
                <w:szCs w:val="26"/>
              </w:rPr>
              <w:t>4</w:t>
            </w:r>
            <w:r w:rsidRPr="00754F15">
              <w:rPr>
                <w:rFonts w:ascii="微軟正黑體" w:eastAsia="微軟正黑體" w:hAnsi="微軟正黑體"/>
                <w:sz w:val="26"/>
                <w:szCs w:val="26"/>
              </w:rPr>
              <w:t>月1日至</w:t>
            </w:r>
            <w:r w:rsidR="00E569CC" w:rsidRPr="00754F15">
              <w:rPr>
                <w:rFonts w:ascii="微軟正黑體" w:eastAsia="微軟正黑體" w:hAnsi="微軟正黑體" w:hint="eastAsia"/>
                <w:sz w:val="26"/>
                <w:szCs w:val="26"/>
              </w:rPr>
              <w:t>4</w:t>
            </w:r>
            <w:r w:rsidRPr="00754F15">
              <w:rPr>
                <w:rFonts w:ascii="微軟正黑體" w:eastAsia="微軟正黑體" w:hAnsi="微軟正黑體"/>
                <w:sz w:val="26"/>
                <w:szCs w:val="26"/>
              </w:rPr>
              <w:t>月3</w:t>
            </w:r>
            <w:r w:rsidR="00E569CC" w:rsidRPr="00754F15">
              <w:rPr>
                <w:rFonts w:ascii="微軟正黑體" w:eastAsia="微軟正黑體" w:hAnsi="微軟正黑體" w:hint="eastAsia"/>
                <w:sz w:val="26"/>
                <w:szCs w:val="26"/>
              </w:rPr>
              <w:t>0</w:t>
            </w:r>
            <w:r w:rsidRPr="00754F15">
              <w:rPr>
                <w:rFonts w:ascii="微軟正黑體" w:eastAsia="微軟正黑體" w:hAnsi="微軟正黑體"/>
                <w:sz w:val="26"/>
                <w:szCs w:val="26"/>
              </w:rPr>
              <w:t>日）</w:t>
            </w:r>
          </w:p>
        </w:tc>
      </w:tr>
      <w:tr w:rsidR="00E22672" w:rsidRPr="004150F0" w14:paraId="3F16F9B6" w14:textId="77777777" w:rsidTr="004150F0">
        <w:tc>
          <w:tcPr>
            <w:tcW w:w="1838" w:type="dxa"/>
            <w:tcBorders>
              <w:top w:val="thinThickSmallGap" w:sz="24" w:space="0" w:color="auto"/>
              <w:left w:val="thinThickSmallGap" w:sz="24" w:space="0" w:color="auto"/>
            </w:tcBorders>
          </w:tcPr>
          <w:p w14:paraId="600D2FA3" w14:textId="72EA46CA" w:rsidR="00E22672" w:rsidRPr="004150F0" w:rsidRDefault="00E22672" w:rsidP="00E22672">
            <w:pPr>
              <w:jc w:val="center"/>
              <w:rPr>
                <w:rFonts w:ascii="微軟正黑體" w:eastAsia="微軟正黑體" w:hAnsi="微軟正黑體"/>
                <w:sz w:val="26"/>
                <w:szCs w:val="26"/>
              </w:rPr>
            </w:pPr>
            <w:r w:rsidRPr="004150F0">
              <w:rPr>
                <w:rFonts w:ascii="微軟正黑體" w:eastAsia="微軟正黑體" w:hAnsi="微軟正黑體" w:hint="eastAsia"/>
                <w:sz w:val="26"/>
                <w:szCs w:val="26"/>
              </w:rPr>
              <w:t>日期</w:t>
            </w:r>
          </w:p>
        </w:tc>
        <w:tc>
          <w:tcPr>
            <w:tcW w:w="2131" w:type="dxa"/>
            <w:tcBorders>
              <w:top w:val="thinThickSmallGap" w:sz="24" w:space="0" w:color="auto"/>
            </w:tcBorders>
          </w:tcPr>
          <w:p w14:paraId="74E96956" w14:textId="20C14068" w:rsidR="00E22672" w:rsidRPr="004150F0" w:rsidRDefault="00E22672" w:rsidP="00E22672">
            <w:pPr>
              <w:jc w:val="center"/>
              <w:rPr>
                <w:rFonts w:ascii="微軟正黑體" w:eastAsia="微軟正黑體" w:hAnsi="微軟正黑體"/>
                <w:sz w:val="26"/>
                <w:szCs w:val="26"/>
              </w:rPr>
            </w:pPr>
            <w:r w:rsidRPr="004150F0">
              <w:rPr>
                <w:rFonts w:ascii="微軟正黑體" w:eastAsia="微軟正黑體" w:hAnsi="微軟正黑體" w:hint="eastAsia"/>
                <w:sz w:val="26"/>
                <w:szCs w:val="26"/>
              </w:rPr>
              <w:t>活動項目</w:t>
            </w:r>
          </w:p>
        </w:tc>
        <w:tc>
          <w:tcPr>
            <w:tcW w:w="5812" w:type="dxa"/>
            <w:tcBorders>
              <w:top w:val="thinThickSmallGap" w:sz="24" w:space="0" w:color="auto"/>
              <w:right w:val="thickThinSmallGap" w:sz="24" w:space="0" w:color="auto"/>
            </w:tcBorders>
          </w:tcPr>
          <w:p w14:paraId="397B0260" w14:textId="5722AA6F" w:rsidR="00E22672" w:rsidRPr="004150F0" w:rsidRDefault="00E22672" w:rsidP="00E22672">
            <w:pPr>
              <w:jc w:val="center"/>
              <w:rPr>
                <w:rFonts w:ascii="微軟正黑體" w:eastAsia="微軟正黑體" w:hAnsi="微軟正黑體"/>
                <w:sz w:val="26"/>
                <w:szCs w:val="26"/>
              </w:rPr>
            </w:pPr>
            <w:r w:rsidRPr="004150F0">
              <w:rPr>
                <w:rFonts w:ascii="微軟正黑體" w:eastAsia="微軟正黑體" w:hAnsi="微軟正黑體" w:hint="eastAsia"/>
                <w:sz w:val="26"/>
                <w:szCs w:val="26"/>
              </w:rPr>
              <w:t>內容說明</w:t>
            </w:r>
          </w:p>
        </w:tc>
      </w:tr>
      <w:tr w:rsidR="004E4303" w:rsidRPr="004150F0" w14:paraId="7012DB6B" w14:textId="77777777" w:rsidTr="004150F0">
        <w:trPr>
          <w:trHeight w:val="3008"/>
        </w:trPr>
        <w:tc>
          <w:tcPr>
            <w:tcW w:w="1838" w:type="dxa"/>
            <w:tcBorders>
              <w:left w:val="thinThickSmallGap" w:sz="24" w:space="0" w:color="auto"/>
            </w:tcBorders>
            <w:vAlign w:val="center"/>
          </w:tcPr>
          <w:p w14:paraId="5EEB8099" w14:textId="4CCD2CDD" w:rsidR="004E4303" w:rsidRPr="004150F0" w:rsidRDefault="004E4303" w:rsidP="004150F0">
            <w:pPr>
              <w:jc w:val="center"/>
              <w:rPr>
                <w:rFonts w:ascii="微軟正黑體" w:eastAsia="微軟正黑體" w:hAnsi="微軟正黑體" w:hint="eastAsia"/>
                <w:sz w:val="26"/>
                <w:szCs w:val="26"/>
              </w:rPr>
            </w:pPr>
            <w:r w:rsidRPr="004150F0">
              <w:rPr>
                <w:rFonts w:ascii="微軟正黑體" w:eastAsia="微軟正黑體" w:hAnsi="微軟正黑體" w:hint="eastAsia"/>
                <w:sz w:val="26"/>
                <w:szCs w:val="26"/>
              </w:rPr>
              <w:t>4月</w:t>
            </w:r>
            <w:r w:rsidRPr="004150F0">
              <w:rPr>
                <w:rFonts w:ascii="微軟正黑體" w:eastAsia="微軟正黑體" w:hAnsi="微軟正黑體" w:hint="eastAsia"/>
                <w:sz w:val="26"/>
                <w:szCs w:val="26"/>
              </w:rPr>
              <w:t>1</w:t>
            </w:r>
            <w:r w:rsidRPr="004150F0">
              <w:rPr>
                <w:rFonts w:ascii="微軟正黑體" w:eastAsia="微軟正黑體" w:hAnsi="微軟正黑體" w:hint="eastAsia"/>
                <w:sz w:val="26"/>
                <w:szCs w:val="26"/>
              </w:rPr>
              <w:t>日</w:t>
            </w:r>
          </w:p>
        </w:tc>
        <w:tc>
          <w:tcPr>
            <w:tcW w:w="2131" w:type="dxa"/>
            <w:vAlign w:val="center"/>
          </w:tcPr>
          <w:p w14:paraId="0BB16253" w14:textId="75652C25" w:rsidR="004E4303" w:rsidRPr="00754F15" w:rsidRDefault="004E4303" w:rsidP="004150F0">
            <w:pPr>
              <w:spacing w:line="360" w:lineRule="exact"/>
              <w:jc w:val="both"/>
              <w:rPr>
                <w:rFonts w:ascii="微軟正黑體" w:eastAsia="微軟正黑體" w:hAnsi="微軟正黑體" w:hint="eastAsia"/>
                <w:sz w:val="26"/>
                <w:szCs w:val="26"/>
              </w:rPr>
            </w:pPr>
            <w:r w:rsidRPr="00754F15">
              <w:rPr>
                <w:rFonts w:ascii="微軟正黑體" w:eastAsia="微軟正黑體" w:hAnsi="微軟正黑體" w:hint="eastAsia"/>
                <w:sz w:val="26"/>
                <w:szCs w:val="26"/>
              </w:rPr>
              <w:t>員工協助方案-親子愛溝通說話有</w:t>
            </w:r>
            <w:proofErr w:type="gramStart"/>
            <w:r w:rsidRPr="00754F15">
              <w:rPr>
                <w:rFonts w:ascii="微軟正黑體" w:eastAsia="微軟正黑體" w:hAnsi="微軟正黑體" w:hint="eastAsia"/>
                <w:sz w:val="26"/>
                <w:szCs w:val="26"/>
              </w:rPr>
              <w:t>祕訣</w:t>
            </w:r>
            <w:proofErr w:type="gramEnd"/>
          </w:p>
        </w:tc>
        <w:tc>
          <w:tcPr>
            <w:tcW w:w="5812" w:type="dxa"/>
            <w:tcBorders>
              <w:right w:val="thickThinSmallGap" w:sz="24" w:space="0" w:color="auto"/>
            </w:tcBorders>
            <w:vAlign w:val="center"/>
          </w:tcPr>
          <w:p w14:paraId="2F15BD7B" w14:textId="53020D5D" w:rsidR="004E4303" w:rsidRPr="004150F0" w:rsidRDefault="004150F0" w:rsidP="004150F0">
            <w:pPr>
              <w:spacing w:line="360" w:lineRule="exact"/>
              <w:jc w:val="both"/>
              <w:rPr>
                <w:rFonts w:ascii="微軟正黑體" w:eastAsia="微軟正黑體" w:hAnsi="微軟正黑體" w:hint="eastAsia"/>
                <w:sz w:val="26"/>
                <w:szCs w:val="26"/>
              </w:rPr>
            </w:pPr>
            <w:proofErr w:type="gramStart"/>
            <w:r w:rsidRPr="004150F0">
              <w:rPr>
                <w:rFonts w:ascii="微軟正黑體" w:eastAsia="微軟正黑體" w:hAnsi="微軟正黑體" w:hint="eastAsia"/>
                <w:sz w:val="26"/>
                <w:szCs w:val="26"/>
              </w:rPr>
              <w:t>邀請創予諮商</w:t>
            </w:r>
            <w:proofErr w:type="gramEnd"/>
            <w:r w:rsidRPr="004150F0">
              <w:rPr>
                <w:rFonts w:ascii="微軟正黑體" w:eastAsia="微軟正黑體" w:hAnsi="微軟正黑體" w:hint="eastAsia"/>
                <w:sz w:val="26"/>
                <w:szCs w:val="26"/>
              </w:rPr>
              <w:t>心理</w:t>
            </w:r>
            <w:proofErr w:type="gramStart"/>
            <w:r w:rsidRPr="004150F0">
              <w:rPr>
                <w:rFonts w:ascii="微軟正黑體" w:eastAsia="微軟正黑體" w:hAnsi="微軟正黑體" w:hint="eastAsia"/>
                <w:sz w:val="26"/>
                <w:szCs w:val="26"/>
              </w:rPr>
              <w:t>師莊騏嘉以</w:t>
            </w:r>
            <w:proofErr w:type="gramEnd"/>
            <w:r w:rsidRPr="004150F0">
              <w:rPr>
                <w:rFonts w:ascii="微軟正黑體" w:eastAsia="微軟正黑體" w:hAnsi="微軟正黑體" w:hint="eastAsia"/>
                <w:sz w:val="26"/>
                <w:szCs w:val="26"/>
              </w:rPr>
              <w:t>「親子愛溝通說話有</w:t>
            </w:r>
            <w:proofErr w:type="gramStart"/>
            <w:r w:rsidRPr="004150F0">
              <w:rPr>
                <w:rFonts w:ascii="微軟正黑體" w:eastAsia="微軟正黑體" w:hAnsi="微軟正黑體" w:hint="eastAsia"/>
                <w:sz w:val="26"/>
                <w:szCs w:val="26"/>
              </w:rPr>
              <w:t>祕訣</w:t>
            </w:r>
            <w:proofErr w:type="gramEnd"/>
            <w:r w:rsidRPr="004150F0">
              <w:rPr>
                <w:rFonts w:ascii="微軟正黑體" w:eastAsia="微軟正黑體" w:hAnsi="微軟正黑體" w:hint="eastAsia"/>
                <w:sz w:val="26"/>
                <w:szCs w:val="26"/>
              </w:rPr>
              <w:t>」為主題開講，與縣府員工一起探討孩子為何不開口、升級的爸媽、情緒紅綠燈、教養的思維、家的溫度計、值得信任的大人的各項課題，並建議每日與孩子建立正向的關係，花時間照顧、陪伴孩子輕鬆地聊天，並幫孩子培養用語言表達需求、情緒管理、與相互合作的能力，進而改善親子關係與增進彼此情感。</w:t>
            </w:r>
          </w:p>
        </w:tc>
      </w:tr>
      <w:tr w:rsidR="00E22672" w:rsidRPr="004150F0" w14:paraId="3333373B" w14:textId="77777777" w:rsidTr="00754F15">
        <w:trPr>
          <w:trHeight w:val="2117"/>
        </w:trPr>
        <w:tc>
          <w:tcPr>
            <w:tcW w:w="1838" w:type="dxa"/>
            <w:tcBorders>
              <w:left w:val="thinThickSmallGap" w:sz="24" w:space="0" w:color="auto"/>
            </w:tcBorders>
            <w:vAlign w:val="center"/>
          </w:tcPr>
          <w:p w14:paraId="447DBC74" w14:textId="4D63FF97" w:rsidR="00E22672" w:rsidRPr="004150F0" w:rsidRDefault="0083398A" w:rsidP="004150F0">
            <w:pPr>
              <w:jc w:val="center"/>
              <w:rPr>
                <w:rFonts w:ascii="微軟正黑體" w:eastAsia="微軟正黑體" w:hAnsi="微軟正黑體"/>
                <w:sz w:val="26"/>
                <w:szCs w:val="26"/>
              </w:rPr>
            </w:pPr>
            <w:r w:rsidRPr="004150F0">
              <w:rPr>
                <w:rFonts w:ascii="微軟正黑體" w:eastAsia="微軟正黑體" w:hAnsi="微軟正黑體" w:hint="eastAsia"/>
                <w:sz w:val="26"/>
                <w:szCs w:val="26"/>
              </w:rPr>
              <w:t>4</w:t>
            </w:r>
            <w:r w:rsidR="00E22672" w:rsidRPr="004150F0">
              <w:rPr>
                <w:rFonts w:ascii="微軟正黑體" w:eastAsia="微軟正黑體" w:hAnsi="微軟正黑體" w:hint="eastAsia"/>
                <w:sz w:val="26"/>
                <w:szCs w:val="26"/>
              </w:rPr>
              <w:t>月11日</w:t>
            </w:r>
          </w:p>
        </w:tc>
        <w:tc>
          <w:tcPr>
            <w:tcW w:w="2131" w:type="dxa"/>
            <w:vAlign w:val="center"/>
          </w:tcPr>
          <w:p w14:paraId="26B385BC" w14:textId="5920DF52" w:rsidR="00E22672" w:rsidRPr="00754F15" w:rsidRDefault="0083398A" w:rsidP="004150F0">
            <w:pPr>
              <w:spacing w:line="360" w:lineRule="exact"/>
              <w:jc w:val="both"/>
              <w:rPr>
                <w:rFonts w:ascii="微軟正黑體" w:eastAsia="微軟正黑體" w:hAnsi="微軟正黑體"/>
                <w:sz w:val="26"/>
                <w:szCs w:val="26"/>
              </w:rPr>
            </w:pPr>
            <w:r w:rsidRPr="00754F15">
              <w:rPr>
                <w:rFonts w:ascii="微軟正黑體" w:eastAsia="微軟正黑體" w:hAnsi="微軟正黑體" w:hint="eastAsia"/>
                <w:sz w:val="26"/>
                <w:szCs w:val="26"/>
              </w:rPr>
              <w:t>本府</w:t>
            </w:r>
            <w:proofErr w:type="gramStart"/>
            <w:r w:rsidRPr="00754F15">
              <w:rPr>
                <w:rFonts w:ascii="微軟正黑體" w:eastAsia="微軟正黑體" w:hAnsi="微軟正黑體" w:hint="eastAsia"/>
                <w:sz w:val="26"/>
                <w:szCs w:val="26"/>
              </w:rPr>
              <w:t>113</w:t>
            </w:r>
            <w:proofErr w:type="gramEnd"/>
            <w:r w:rsidRPr="00754F15">
              <w:rPr>
                <w:rFonts w:ascii="微軟正黑體" w:eastAsia="微軟正黑體" w:hAnsi="微軟正黑體" w:hint="eastAsia"/>
                <w:sz w:val="26"/>
                <w:szCs w:val="26"/>
              </w:rPr>
              <w:t>年度模範公務人員表揚</w:t>
            </w:r>
          </w:p>
        </w:tc>
        <w:tc>
          <w:tcPr>
            <w:tcW w:w="5812" w:type="dxa"/>
            <w:tcBorders>
              <w:right w:val="thickThinSmallGap" w:sz="24" w:space="0" w:color="auto"/>
            </w:tcBorders>
            <w:vAlign w:val="center"/>
          </w:tcPr>
          <w:p w14:paraId="501E3DBC" w14:textId="27D140BE" w:rsidR="00E22672" w:rsidRPr="004150F0" w:rsidRDefault="0083398A" w:rsidP="004150F0">
            <w:pPr>
              <w:spacing w:line="360" w:lineRule="exact"/>
              <w:jc w:val="both"/>
              <w:rPr>
                <w:rFonts w:ascii="微軟正黑體" w:eastAsia="微軟正黑體" w:hAnsi="微軟正黑體"/>
                <w:sz w:val="26"/>
                <w:szCs w:val="26"/>
              </w:rPr>
            </w:pPr>
            <w:r w:rsidRPr="004150F0">
              <w:rPr>
                <w:rFonts w:ascii="微軟正黑體" w:eastAsia="微軟正黑體" w:hAnsi="微軟正黑體" w:hint="eastAsia"/>
                <w:sz w:val="26"/>
                <w:szCs w:val="26"/>
              </w:rPr>
              <w:t>經評選本(113)年度模範公務人員由本縣港務處副處長陳志昕、消防</w:t>
            </w:r>
            <w:proofErr w:type="gramStart"/>
            <w:r w:rsidRPr="004150F0">
              <w:rPr>
                <w:rFonts w:ascii="微軟正黑體" w:eastAsia="微軟正黑體" w:hAnsi="微軟正黑體" w:hint="eastAsia"/>
                <w:sz w:val="26"/>
                <w:szCs w:val="26"/>
              </w:rPr>
              <w:t>局副大隊長</w:t>
            </w:r>
            <w:proofErr w:type="gramEnd"/>
            <w:r w:rsidRPr="004150F0">
              <w:rPr>
                <w:rFonts w:ascii="微軟正黑體" w:eastAsia="微軟正黑體" w:hAnsi="微軟正黑體" w:hint="eastAsia"/>
                <w:sz w:val="26"/>
                <w:szCs w:val="26"/>
              </w:rPr>
              <w:t>董紀瑋及本府建設處科員李姿維等3人獲選，縣長陳福海於本年4月11日縣府主管</w:t>
            </w:r>
            <w:proofErr w:type="gramStart"/>
            <w:r w:rsidRPr="004150F0">
              <w:rPr>
                <w:rFonts w:ascii="微軟正黑體" w:eastAsia="微軟正黑體" w:hAnsi="微軟正黑體" w:hint="eastAsia"/>
                <w:sz w:val="26"/>
                <w:szCs w:val="26"/>
              </w:rPr>
              <w:t>會報暨縣政</w:t>
            </w:r>
            <w:proofErr w:type="gramEnd"/>
            <w:r w:rsidRPr="004150F0">
              <w:rPr>
                <w:rFonts w:ascii="微軟正黑體" w:eastAsia="微軟正黑體" w:hAnsi="微軟正黑體" w:hint="eastAsia"/>
                <w:sz w:val="26"/>
                <w:szCs w:val="26"/>
              </w:rPr>
              <w:t>會議親自頒發獎狀及獎金以茲表揚。</w:t>
            </w:r>
          </w:p>
        </w:tc>
      </w:tr>
      <w:tr w:rsidR="00E22672" w:rsidRPr="004150F0" w14:paraId="13961F76" w14:textId="77777777" w:rsidTr="004150F0">
        <w:trPr>
          <w:trHeight w:val="3099"/>
        </w:trPr>
        <w:tc>
          <w:tcPr>
            <w:tcW w:w="1838" w:type="dxa"/>
            <w:tcBorders>
              <w:left w:val="thinThickSmallGap" w:sz="24" w:space="0" w:color="auto"/>
            </w:tcBorders>
            <w:vAlign w:val="center"/>
          </w:tcPr>
          <w:p w14:paraId="2EA6C01E" w14:textId="7CB75612" w:rsidR="00E22672" w:rsidRPr="004150F0" w:rsidRDefault="0083398A" w:rsidP="004150F0">
            <w:pPr>
              <w:jc w:val="center"/>
              <w:rPr>
                <w:rFonts w:ascii="微軟正黑體" w:eastAsia="微軟正黑體" w:hAnsi="微軟正黑體"/>
                <w:sz w:val="26"/>
                <w:szCs w:val="26"/>
              </w:rPr>
            </w:pPr>
            <w:r w:rsidRPr="004150F0">
              <w:rPr>
                <w:rFonts w:ascii="微軟正黑體" w:eastAsia="微軟正黑體" w:hAnsi="微軟正黑體" w:hint="eastAsia"/>
                <w:sz w:val="26"/>
                <w:szCs w:val="26"/>
              </w:rPr>
              <w:t>4</w:t>
            </w:r>
            <w:r w:rsidR="00E22672" w:rsidRPr="004150F0">
              <w:rPr>
                <w:rFonts w:ascii="微軟正黑體" w:eastAsia="微軟正黑體" w:hAnsi="微軟正黑體" w:hint="eastAsia"/>
                <w:sz w:val="26"/>
                <w:szCs w:val="26"/>
              </w:rPr>
              <w:t>月1</w:t>
            </w:r>
            <w:r w:rsidRPr="004150F0">
              <w:rPr>
                <w:rFonts w:ascii="微軟正黑體" w:eastAsia="微軟正黑體" w:hAnsi="微軟正黑體" w:hint="eastAsia"/>
                <w:sz w:val="26"/>
                <w:szCs w:val="26"/>
              </w:rPr>
              <w:t>2</w:t>
            </w:r>
            <w:r w:rsidR="00E22672" w:rsidRPr="004150F0">
              <w:rPr>
                <w:rFonts w:ascii="微軟正黑體" w:eastAsia="微軟正黑體" w:hAnsi="微軟正黑體" w:hint="eastAsia"/>
                <w:sz w:val="26"/>
                <w:szCs w:val="26"/>
              </w:rPr>
              <w:t>日</w:t>
            </w:r>
          </w:p>
        </w:tc>
        <w:tc>
          <w:tcPr>
            <w:tcW w:w="2131" w:type="dxa"/>
            <w:vAlign w:val="center"/>
          </w:tcPr>
          <w:p w14:paraId="4E24FB24" w14:textId="6FDAF68B" w:rsidR="00E22672" w:rsidRPr="004150F0" w:rsidRDefault="0083398A" w:rsidP="004150F0">
            <w:pPr>
              <w:spacing w:line="360" w:lineRule="exact"/>
              <w:jc w:val="both"/>
              <w:rPr>
                <w:rFonts w:ascii="微軟正黑體" w:eastAsia="微軟正黑體" w:hAnsi="微軟正黑體"/>
                <w:sz w:val="26"/>
                <w:szCs w:val="26"/>
              </w:rPr>
            </w:pPr>
            <w:r w:rsidRPr="004150F0">
              <w:rPr>
                <w:rFonts w:ascii="微軟正黑體" w:eastAsia="微軟正黑體" w:hAnsi="微軟正黑體" w:hint="eastAsia"/>
                <w:sz w:val="26"/>
                <w:szCs w:val="26"/>
              </w:rPr>
              <w:t>113年上半年度兩公約與人權教育專題講座</w:t>
            </w:r>
          </w:p>
        </w:tc>
        <w:tc>
          <w:tcPr>
            <w:tcW w:w="5812" w:type="dxa"/>
            <w:tcBorders>
              <w:right w:val="thickThinSmallGap" w:sz="24" w:space="0" w:color="auto"/>
            </w:tcBorders>
            <w:vAlign w:val="center"/>
          </w:tcPr>
          <w:p w14:paraId="7BC36F6A" w14:textId="3EB22A39" w:rsidR="00E22672" w:rsidRPr="004150F0" w:rsidRDefault="0083398A" w:rsidP="004150F0">
            <w:pPr>
              <w:spacing w:line="360" w:lineRule="exact"/>
              <w:jc w:val="both"/>
              <w:rPr>
                <w:rFonts w:ascii="微軟正黑體" w:eastAsia="微軟正黑體" w:hAnsi="微軟正黑體"/>
                <w:sz w:val="26"/>
                <w:szCs w:val="26"/>
              </w:rPr>
            </w:pPr>
            <w:r w:rsidRPr="004150F0">
              <w:rPr>
                <w:rFonts w:ascii="微軟正黑體" w:eastAsia="微軟正黑體" w:hAnsi="微軟正黑體" w:hint="eastAsia"/>
                <w:sz w:val="26"/>
                <w:szCs w:val="26"/>
              </w:rPr>
              <w:t>為落實配合我國當前對人權與民主等普</w:t>
            </w:r>
            <w:proofErr w:type="gramStart"/>
            <w:r w:rsidRPr="004150F0">
              <w:rPr>
                <w:rFonts w:ascii="微軟正黑體" w:eastAsia="微軟正黑體" w:hAnsi="微軟正黑體" w:hint="eastAsia"/>
                <w:sz w:val="26"/>
                <w:szCs w:val="26"/>
              </w:rPr>
              <w:t>世</w:t>
            </w:r>
            <w:proofErr w:type="gramEnd"/>
            <w:r w:rsidRPr="004150F0">
              <w:rPr>
                <w:rFonts w:ascii="微軟正黑體" w:eastAsia="微軟正黑體" w:hAnsi="微軟正黑體" w:hint="eastAsia"/>
                <w:sz w:val="26"/>
                <w:szCs w:val="26"/>
              </w:rPr>
              <w:t>價值之重視，推動促進公務同仁對國際重要議題認識，</w:t>
            </w:r>
            <w:proofErr w:type="gramStart"/>
            <w:r w:rsidRPr="004150F0">
              <w:rPr>
                <w:rFonts w:ascii="微軟正黑體" w:eastAsia="微軟正黑體" w:hAnsi="微軟正黑體" w:hint="eastAsia"/>
                <w:sz w:val="26"/>
                <w:szCs w:val="26"/>
              </w:rPr>
              <w:t>爰</w:t>
            </w:r>
            <w:proofErr w:type="gramEnd"/>
            <w:r w:rsidRPr="004150F0">
              <w:rPr>
                <w:rFonts w:ascii="微軟正黑體" w:eastAsia="微軟正黑體" w:hAnsi="微軟正黑體" w:hint="eastAsia"/>
                <w:sz w:val="26"/>
                <w:szCs w:val="26"/>
              </w:rPr>
              <w:t>規劃辦理民主治理價值及兩公約與人權教育相關研習活動，期以增進提升公務同仁相關專業知能。本次專題講座聘邀福建金門地方法院專業法官擔任講座，藉由兩公約相關法規於我國推動與實際案例適用情形之講述說明，希望讓公務同仁對兩公約議題能有更深入的瞭解。</w:t>
            </w:r>
          </w:p>
        </w:tc>
      </w:tr>
      <w:tr w:rsidR="00E22672" w:rsidRPr="004150F0" w14:paraId="2C1ED797" w14:textId="77777777" w:rsidTr="004150F0">
        <w:trPr>
          <w:trHeight w:val="557"/>
        </w:trPr>
        <w:tc>
          <w:tcPr>
            <w:tcW w:w="1838" w:type="dxa"/>
            <w:tcBorders>
              <w:left w:val="thinThickSmallGap" w:sz="24" w:space="0" w:color="auto"/>
            </w:tcBorders>
            <w:vAlign w:val="center"/>
          </w:tcPr>
          <w:p w14:paraId="35E36074" w14:textId="2DFDBACA" w:rsidR="00E22672" w:rsidRPr="004150F0" w:rsidRDefault="0083398A" w:rsidP="004150F0">
            <w:pPr>
              <w:jc w:val="center"/>
              <w:rPr>
                <w:rFonts w:ascii="微軟正黑體" w:eastAsia="微軟正黑體" w:hAnsi="微軟正黑體"/>
                <w:sz w:val="26"/>
                <w:szCs w:val="26"/>
              </w:rPr>
            </w:pPr>
            <w:r w:rsidRPr="004150F0">
              <w:rPr>
                <w:rFonts w:ascii="微軟正黑體" w:eastAsia="微軟正黑體" w:hAnsi="微軟正黑體" w:hint="eastAsia"/>
                <w:sz w:val="26"/>
                <w:szCs w:val="26"/>
              </w:rPr>
              <w:t>4</w:t>
            </w:r>
            <w:r w:rsidR="00E22672" w:rsidRPr="004150F0">
              <w:rPr>
                <w:rFonts w:ascii="微軟正黑體" w:eastAsia="微軟正黑體" w:hAnsi="微軟正黑體" w:hint="eastAsia"/>
                <w:sz w:val="26"/>
                <w:szCs w:val="26"/>
              </w:rPr>
              <w:t>月1</w:t>
            </w:r>
            <w:r w:rsidRPr="004150F0">
              <w:rPr>
                <w:rFonts w:ascii="微軟正黑體" w:eastAsia="微軟正黑體" w:hAnsi="微軟正黑體" w:hint="eastAsia"/>
                <w:sz w:val="26"/>
                <w:szCs w:val="26"/>
              </w:rPr>
              <w:t>6</w:t>
            </w:r>
            <w:r w:rsidR="00E22672" w:rsidRPr="004150F0">
              <w:rPr>
                <w:rFonts w:ascii="微軟正黑體" w:eastAsia="微軟正黑體" w:hAnsi="微軟正黑體" w:hint="eastAsia"/>
                <w:sz w:val="26"/>
                <w:szCs w:val="26"/>
              </w:rPr>
              <w:t>日</w:t>
            </w:r>
          </w:p>
        </w:tc>
        <w:tc>
          <w:tcPr>
            <w:tcW w:w="2131" w:type="dxa"/>
            <w:vAlign w:val="center"/>
          </w:tcPr>
          <w:p w14:paraId="6EF804F9" w14:textId="0B71ADC6" w:rsidR="00E22672" w:rsidRPr="004150F0" w:rsidRDefault="0083398A" w:rsidP="004150F0">
            <w:pPr>
              <w:spacing w:line="360" w:lineRule="exact"/>
              <w:jc w:val="both"/>
              <w:rPr>
                <w:rFonts w:ascii="微軟正黑體" w:eastAsia="微軟正黑體" w:hAnsi="微軟正黑體"/>
                <w:sz w:val="26"/>
                <w:szCs w:val="26"/>
              </w:rPr>
            </w:pPr>
            <w:r w:rsidRPr="004150F0">
              <w:rPr>
                <w:rFonts w:ascii="微軟正黑體" w:eastAsia="微軟正黑體" w:hAnsi="微軟正黑體" w:hint="eastAsia"/>
                <w:sz w:val="26"/>
                <w:szCs w:val="26"/>
              </w:rPr>
              <w:t>113年性別意識培力與性平議題研習－如何建構性別友善社會</w:t>
            </w:r>
          </w:p>
        </w:tc>
        <w:tc>
          <w:tcPr>
            <w:tcW w:w="5812" w:type="dxa"/>
            <w:tcBorders>
              <w:right w:val="thickThinSmallGap" w:sz="24" w:space="0" w:color="auto"/>
            </w:tcBorders>
            <w:vAlign w:val="center"/>
          </w:tcPr>
          <w:p w14:paraId="3BE3C58F" w14:textId="29AE4312" w:rsidR="00E22672" w:rsidRPr="004150F0" w:rsidRDefault="0083398A" w:rsidP="004150F0">
            <w:pPr>
              <w:spacing w:line="360" w:lineRule="exact"/>
              <w:jc w:val="both"/>
              <w:rPr>
                <w:rFonts w:ascii="微軟正黑體" w:eastAsia="微軟正黑體" w:hAnsi="微軟正黑體"/>
                <w:sz w:val="26"/>
                <w:szCs w:val="26"/>
              </w:rPr>
            </w:pPr>
            <w:r w:rsidRPr="004150F0">
              <w:rPr>
                <w:rFonts w:ascii="微軟正黑體" w:eastAsia="微軟正黑體" w:hAnsi="微軟正黑體" w:hint="eastAsia"/>
                <w:sz w:val="26"/>
                <w:szCs w:val="26"/>
              </w:rPr>
              <w:t>本次研習結合了影片賞析和講座的多元學習形式，特地聘邀臺大醫院精神醫學</w:t>
            </w:r>
            <w:proofErr w:type="gramStart"/>
            <w:r w:rsidRPr="004150F0">
              <w:rPr>
                <w:rFonts w:ascii="微軟正黑體" w:eastAsia="微軟正黑體" w:hAnsi="微軟正黑體" w:hint="eastAsia"/>
                <w:sz w:val="26"/>
                <w:szCs w:val="26"/>
              </w:rPr>
              <w:t>部及部立</w:t>
            </w:r>
            <w:proofErr w:type="gramEnd"/>
            <w:r w:rsidRPr="004150F0">
              <w:rPr>
                <w:rFonts w:ascii="微軟正黑體" w:eastAsia="微軟正黑體" w:hAnsi="微軟正黑體" w:hint="eastAsia"/>
                <w:sz w:val="26"/>
                <w:szCs w:val="26"/>
              </w:rPr>
              <w:t>金門醫院精神科兼任主治醫師－徐志雲醫師擔任講座。本次研習一開始先觀賞了電影《小王子公主心》，記錄一個與眾不同的孩子</w:t>
            </w:r>
            <w:proofErr w:type="gramStart"/>
            <w:r w:rsidRPr="004150F0">
              <w:rPr>
                <w:rFonts w:ascii="微軟正黑體" w:eastAsia="微軟正黑體" w:hAnsi="微軟正黑體" w:hint="eastAsia"/>
                <w:sz w:val="26"/>
                <w:szCs w:val="26"/>
              </w:rPr>
              <w:t>—</w:t>
            </w:r>
            <w:proofErr w:type="gramEnd"/>
            <w:r w:rsidRPr="004150F0">
              <w:rPr>
                <w:rFonts w:ascii="微軟正黑體" w:eastAsia="微軟正黑體" w:hAnsi="微軟正黑體" w:hint="eastAsia"/>
                <w:sz w:val="26"/>
                <w:szCs w:val="26"/>
              </w:rPr>
              <w:t>7歲小孩「莎夏」本身與其家人的心境轉變，以及在學校和同儕中尋求融入認同的心路歷程，藉由這部電影讓社會大眾認識跨性別孩童的真實面，更讓大家知道「與眾不同」代表的意義。徐醫師接著以幾則引起討論的社會新聞為楔子討論女性的社會重擔問題，提出長期以來對於男女性別指涉的刻板印象，進而切入講座</w:t>
            </w:r>
            <w:proofErr w:type="gramStart"/>
            <w:r w:rsidRPr="004150F0">
              <w:rPr>
                <w:rFonts w:ascii="微軟正黑體" w:eastAsia="微軟正黑體" w:hAnsi="微軟正黑體" w:hint="eastAsia"/>
                <w:sz w:val="26"/>
                <w:szCs w:val="26"/>
              </w:rPr>
              <w:t>主題－從</w:t>
            </w:r>
            <w:proofErr w:type="gramEnd"/>
            <w:r w:rsidRPr="004150F0">
              <w:rPr>
                <w:rFonts w:ascii="微軟正黑體" w:eastAsia="微軟正黑體" w:hAnsi="微軟正黑體" w:hint="eastAsia"/>
                <w:sz w:val="26"/>
                <w:szCs w:val="26"/>
              </w:rPr>
              <w:lastRenderedPageBreak/>
              <w:t>「性解放」探討建構性別友善社會的重要性。</w:t>
            </w:r>
          </w:p>
        </w:tc>
      </w:tr>
      <w:tr w:rsidR="00820F4E" w:rsidRPr="004150F0" w14:paraId="34391326" w14:textId="77777777" w:rsidTr="004150F0">
        <w:trPr>
          <w:trHeight w:val="557"/>
        </w:trPr>
        <w:tc>
          <w:tcPr>
            <w:tcW w:w="1838" w:type="dxa"/>
            <w:tcBorders>
              <w:left w:val="thinThickSmallGap" w:sz="24" w:space="0" w:color="auto"/>
            </w:tcBorders>
            <w:vAlign w:val="center"/>
          </w:tcPr>
          <w:p w14:paraId="282AD513" w14:textId="2DC024ED" w:rsidR="00820F4E" w:rsidRPr="004150F0" w:rsidRDefault="00820F4E" w:rsidP="004150F0">
            <w:pPr>
              <w:jc w:val="center"/>
              <w:rPr>
                <w:rFonts w:ascii="微軟正黑體" w:eastAsia="微軟正黑體" w:hAnsi="微軟正黑體" w:hint="eastAsia"/>
                <w:sz w:val="26"/>
                <w:szCs w:val="26"/>
              </w:rPr>
            </w:pPr>
            <w:r w:rsidRPr="004150F0">
              <w:rPr>
                <w:rFonts w:ascii="微軟正黑體" w:eastAsia="微軟正黑體" w:hAnsi="微軟正黑體" w:hint="eastAsia"/>
                <w:sz w:val="26"/>
                <w:szCs w:val="26"/>
              </w:rPr>
              <w:lastRenderedPageBreak/>
              <w:t>4月16日</w:t>
            </w:r>
          </w:p>
        </w:tc>
        <w:tc>
          <w:tcPr>
            <w:tcW w:w="2131" w:type="dxa"/>
            <w:vAlign w:val="center"/>
          </w:tcPr>
          <w:p w14:paraId="0E3CF6E6" w14:textId="00858739" w:rsidR="00820F4E" w:rsidRPr="004150F0" w:rsidRDefault="00820F4E" w:rsidP="004150F0">
            <w:pPr>
              <w:spacing w:line="360" w:lineRule="exact"/>
              <w:jc w:val="both"/>
              <w:rPr>
                <w:rFonts w:ascii="微軟正黑體" w:eastAsia="微軟正黑體" w:hAnsi="微軟正黑體" w:hint="eastAsia"/>
                <w:sz w:val="26"/>
                <w:szCs w:val="26"/>
              </w:rPr>
            </w:pPr>
            <w:r>
              <w:rPr>
                <w:rFonts w:ascii="微軟正黑體" w:eastAsia="微軟正黑體" w:hAnsi="微軟正黑體" w:hint="eastAsia"/>
                <w:sz w:val="26"/>
                <w:szCs w:val="26"/>
              </w:rPr>
              <w:t>本府員工慶生會</w:t>
            </w:r>
          </w:p>
        </w:tc>
        <w:tc>
          <w:tcPr>
            <w:tcW w:w="5812" w:type="dxa"/>
            <w:tcBorders>
              <w:right w:val="thickThinSmallGap" w:sz="24" w:space="0" w:color="auto"/>
            </w:tcBorders>
            <w:vAlign w:val="center"/>
          </w:tcPr>
          <w:p w14:paraId="53D8837C" w14:textId="7C7B2B89" w:rsidR="00820F4E" w:rsidRPr="004150F0" w:rsidRDefault="00820F4E" w:rsidP="00820F4E">
            <w:pPr>
              <w:spacing w:beforeLines="50" w:before="180" w:afterLines="50" w:after="180" w:line="360" w:lineRule="exact"/>
              <w:jc w:val="both"/>
              <w:rPr>
                <w:rFonts w:ascii="微軟正黑體" w:eastAsia="微軟正黑體" w:hAnsi="微軟正黑體" w:hint="eastAsia"/>
                <w:sz w:val="26"/>
                <w:szCs w:val="26"/>
              </w:rPr>
            </w:pPr>
            <w:r w:rsidRPr="00820F4E">
              <w:rPr>
                <w:rFonts w:ascii="微軟正黑體" w:eastAsia="微軟正黑體" w:hAnsi="微軟正黑體" w:hint="eastAsia"/>
                <w:sz w:val="26"/>
                <w:szCs w:val="26"/>
              </w:rPr>
              <w:t>於</w:t>
            </w:r>
            <w:r>
              <w:rPr>
                <w:rFonts w:ascii="微軟正黑體" w:eastAsia="微軟正黑體" w:hAnsi="微軟正黑體" w:hint="eastAsia"/>
                <w:sz w:val="26"/>
                <w:szCs w:val="26"/>
              </w:rPr>
              <w:t>本府大禮堂</w:t>
            </w:r>
            <w:r w:rsidRPr="00820F4E">
              <w:rPr>
                <w:rFonts w:ascii="微軟正黑體" w:eastAsia="微軟正黑體" w:hAnsi="微軟正黑體" w:hint="eastAsia"/>
                <w:sz w:val="26"/>
                <w:szCs w:val="26"/>
              </w:rPr>
              <w:t>舉辦員工慶生會活動，邀請</w:t>
            </w:r>
            <w:r>
              <w:rPr>
                <w:rFonts w:ascii="微軟正黑體" w:eastAsia="微軟正黑體" w:hAnsi="微軟正黑體" w:hint="eastAsia"/>
                <w:sz w:val="26"/>
                <w:szCs w:val="26"/>
              </w:rPr>
              <w:t>本府</w:t>
            </w:r>
            <w:proofErr w:type="gramStart"/>
            <w:r>
              <w:rPr>
                <w:rFonts w:ascii="微軟正黑體" w:eastAsia="微軟正黑體" w:hAnsi="微軟正黑體" w:hint="eastAsia"/>
                <w:sz w:val="26"/>
                <w:szCs w:val="26"/>
              </w:rPr>
              <w:t>４</w:t>
            </w:r>
            <w:proofErr w:type="gramEnd"/>
            <w:r w:rsidRPr="00820F4E">
              <w:rPr>
                <w:rFonts w:ascii="微軟正黑體" w:eastAsia="微軟正黑體" w:hAnsi="微軟正黑體" w:hint="eastAsia"/>
                <w:sz w:val="26"/>
                <w:szCs w:val="26"/>
              </w:rPr>
              <w:t>月份壽星參加，</w:t>
            </w:r>
            <w:r>
              <w:rPr>
                <w:rFonts w:ascii="微軟正黑體" w:eastAsia="微軟正黑體" w:hAnsi="微軟正黑體" w:hint="eastAsia"/>
                <w:sz w:val="26"/>
                <w:szCs w:val="26"/>
              </w:rPr>
              <w:t>由陳世保參議主持並</w:t>
            </w:r>
            <w:r w:rsidRPr="00820F4E">
              <w:rPr>
                <w:rFonts w:ascii="微軟正黑體" w:eastAsia="微軟正黑體" w:hAnsi="微軟正黑體" w:hint="eastAsia"/>
                <w:sz w:val="26"/>
                <w:szCs w:val="26"/>
              </w:rPr>
              <w:t>給予</w:t>
            </w:r>
            <w:r>
              <w:rPr>
                <w:rFonts w:ascii="微軟正黑體" w:eastAsia="微軟正黑體" w:hAnsi="微軟正黑體" w:hint="eastAsia"/>
                <w:sz w:val="26"/>
                <w:szCs w:val="26"/>
              </w:rPr>
              <w:t>壽星</w:t>
            </w:r>
            <w:r w:rsidRPr="00820F4E">
              <w:rPr>
                <w:rFonts w:ascii="微軟正黑體" w:eastAsia="微軟正黑體" w:hAnsi="微軟正黑體" w:hint="eastAsia"/>
                <w:sz w:val="26"/>
                <w:szCs w:val="26"/>
              </w:rPr>
              <w:t>祝福</w:t>
            </w:r>
            <w:r>
              <w:rPr>
                <w:rFonts w:ascii="微軟正黑體" w:eastAsia="微軟正黑體" w:hAnsi="微軟正黑體" w:hint="eastAsia"/>
                <w:sz w:val="26"/>
                <w:szCs w:val="26"/>
              </w:rPr>
              <w:t>，現場氣氛融洽熱烈，並於</w:t>
            </w:r>
            <w:r w:rsidRPr="00820F4E">
              <w:rPr>
                <w:rFonts w:ascii="微軟正黑體" w:eastAsia="微軟正黑體" w:hAnsi="微軟正黑體" w:hint="eastAsia"/>
                <w:sz w:val="26"/>
                <w:szCs w:val="26"/>
              </w:rPr>
              <w:t>活動</w:t>
            </w:r>
            <w:proofErr w:type="gramStart"/>
            <w:r w:rsidRPr="00820F4E">
              <w:rPr>
                <w:rFonts w:ascii="微軟正黑體" w:eastAsia="微軟正黑體" w:hAnsi="微軟正黑體" w:hint="eastAsia"/>
                <w:sz w:val="26"/>
                <w:szCs w:val="26"/>
              </w:rPr>
              <w:t>結束後致贈</w:t>
            </w:r>
            <w:proofErr w:type="gramEnd"/>
            <w:r w:rsidRPr="00820F4E">
              <w:rPr>
                <w:rFonts w:ascii="微軟正黑體" w:eastAsia="微軟正黑體" w:hAnsi="微軟正黑體" w:hint="eastAsia"/>
                <w:sz w:val="26"/>
                <w:szCs w:val="26"/>
              </w:rPr>
              <w:t>每一位壽星慶生酒禮盒。</w:t>
            </w:r>
          </w:p>
        </w:tc>
      </w:tr>
      <w:tr w:rsidR="00E22672" w:rsidRPr="004150F0" w14:paraId="43B99405" w14:textId="77777777" w:rsidTr="004150F0">
        <w:trPr>
          <w:trHeight w:val="2819"/>
        </w:trPr>
        <w:tc>
          <w:tcPr>
            <w:tcW w:w="1838" w:type="dxa"/>
            <w:tcBorders>
              <w:left w:val="thinThickSmallGap" w:sz="24" w:space="0" w:color="auto"/>
            </w:tcBorders>
            <w:vAlign w:val="center"/>
          </w:tcPr>
          <w:p w14:paraId="0ECBD6C8" w14:textId="75378ADB" w:rsidR="00E22672" w:rsidRPr="004150F0" w:rsidRDefault="0083398A" w:rsidP="004150F0">
            <w:pPr>
              <w:jc w:val="center"/>
              <w:rPr>
                <w:rFonts w:ascii="微軟正黑體" w:eastAsia="微軟正黑體" w:hAnsi="微軟正黑體"/>
                <w:sz w:val="26"/>
                <w:szCs w:val="26"/>
              </w:rPr>
            </w:pPr>
            <w:r w:rsidRPr="004150F0">
              <w:rPr>
                <w:rFonts w:ascii="微軟正黑體" w:eastAsia="微軟正黑體" w:hAnsi="微軟正黑體" w:hint="eastAsia"/>
                <w:sz w:val="26"/>
                <w:szCs w:val="26"/>
              </w:rPr>
              <w:t>4月19日</w:t>
            </w:r>
          </w:p>
        </w:tc>
        <w:tc>
          <w:tcPr>
            <w:tcW w:w="2131" w:type="dxa"/>
            <w:vAlign w:val="center"/>
          </w:tcPr>
          <w:p w14:paraId="3CFB65B6" w14:textId="6598D786" w:rsidR="00E22672" w:rsidRPr="004150F0" w:rsidRDefault="0083398A" w:rsidP="004150F0">
            <w:pPr>
              <w:spacing w:line="360" w:lineRule="exact"/>
              <w:jc w:val="both"/>
              <w:rPr>
                <w:rFonts w:ascii="微軟正黑體" w:eastAsia="微軟正黑體" w:hAnsi="微軟正黑體"/>
                <w:sz w:val="26"/>
                <w:szCs w:val="26"/>
              </w:rPr>
            </w:pPr>
            <w:r w:rsidRPr="004150F0">
              <w:rPr>
                <w:rFonts w:ascii="微軟正黑體" w:eastAsia="微軟正黑體" w:hAnsi="微軟正黑體" w:hint="eastAsia"/>
                <w:sz w:val="26"/>
                <w:szCs w:val="26"/>
              </w:rPr>
              <w:t>113年提升英語力系列研習－英文</w:t>
            </w:r>
            <w:proofErr w:type="gramStart"/>
            <w:r w:rsidRPr="004150F0">
              <w:rPr>
                <w:rFonts w:ascii="微軟正黑體" w:eastAsia="微軟正黑體" w:hAnsi="微軟正黑體" w:hint="eastAsia"/>
                <w:sz w:val="26"/>
                <w:szCs w:val="26"/>
              </w:rPr>
              <w:t>多益專</w:t>
            </w:r>
            <w:proofErr w:type="gramEnd"/>
            <w:r w:rsidRPr="004150F0">
              <w:rPr>
                <w:rFonts w:ascii="微軟正黑體" w:eastAsia="微軟正黑體" w:hAnsi="微軟正黑體" w:hint="eastAsia"/>
                <w:sz w:val="26"/>
                <w:szCs w:val="26"/>
              </w:rPr>
              <w:t>班</w:t>
            </w:r>
          </w:p>
        </w:tc>
        <w:tc>
          <w:tcPr>
            <w:tcW w:w="5812" w:type="dxa"/>
            <w:tcBorders>
              <w:right w:val="thickThinSmallGap" w:sz="24" w:space="0" w:color="auto"/>
            </w:tcBorders>
            <w:vAlign w:val="center"/>
          </w:tcPr>
          <w:p w14:paraId="1379D3A8" w14:textId="6BE990CC" w:rsidR="00E22672" w:rsidRPr="004150F0" w:rsidRDefault="0083398A" w:rsidP="004150F0">
            <w:pPr>
              <w:spacing w:line="360" w:lineRule="exact"/>
              <w:jc w:val="both"/>
              <w:rPr>
                <w:rFonts w:ascii="微軟正黑體" w:eastAsia="微軟正黑體" w:hAnsi="微軟正黑體"/>
                <w:sz w:val="26"/>
                <w:szCs w:val="26"/>
              </w:rPr>
            </w:pPr>
            <w:r w:rsidRPr="004150F0">
              <w:rPr>
                <w:rFonts w:ascii="微軟正黑體" w:eastAsia="微軟正黑體" w:hAnsi="微軟正黑體" w:hint="eastAsia"/>
                <w:sz w:val="26"/>
                <w:szCs w:val="26"/>
              </w:rPr>
              <w:t>為響應推動雙語國家政策，型塑積極學習英語之組織文化，並激勵公務同仁主動學習，提升自身英語及相關業務能力，進而拓展國際視野，同時增進本縣公務同仁通過英語相關檢定人數比例，</w:t>
            </w:r>
            <w:proofErr w:type="gramStart"/>
            <w:r w:rsidRPr="004150F0">
              <w:rPr>
                <w:rFonts w:ascii="微軟正黑體" w:eastAsia="微軟正黑體" w:hAnsi="微軟正黑體" w:hint="eastAsia"/>
                <w:sz w:val="26"/>
                <w:szCs w:val="26"/>
              </w:rPr>
              <w:t>爰</w:t>
            </w:r>
            <w:proofErr w:type="gramEnd"/>
            <w:r w:rsidRPr="004150F0">
              <w:rPr>
                <w:rFonts w:ascii="微軟正黑體" w:eastAsia="微軟正黑體" w:hAnsi="微軟正黑體" w:hint="eastAsia"/>
                <w:sz w:val="26"/>
                <w:szCs w:val="26"/>
              </w:rPr>
              <w:t>規劃辦理系列課程，包括英文</w:t>
            </w:r>
            <w:proofErr w:type="gramStart"/>
            <w:r w:rsidRPr="004150F0">
              <w:rPr>
                <w:rFonts w:ascii="微軟正黑體" w:eastAsia="微軟正黑體" w:hAnsi="微軟正黑體" w:hint="eastAsia"/>
                <w:sz w:val="26"/>
                <w:szCs w:val="26"/>
              </w:rPr>
              <w:t>多益專</w:t>
            </w:r>
            <w:proofErr w:type="gramEnd"/>
            <w:r w:rsidRPr="004150F0">
              <w:rPr>
                <w:rFonts w:ascii="微軟正黑體" w:eastAsia="微軟正黑體" w:hAnsi="微軟正黑體" w:hint="eastAsia"/>
                <w:sz w:val="26"/>
                <w:szCs w:val="26"/>
              </w:rPr>
              <w:t>班、閱讀與寫作、旅遊與生活會話等主題，並聘邀銘傳大學英語教學中心專業師資擔任講師。</w:t>
            </w:r>
          </w:p>
        </w:tc>
      </w:tr>
      <w:tr w:rsidR="0083398A" w:rsidRPr="004150F0" w14:paraId="5113F62A" w14:textId="77777777" w:rsidTr="004150F0">
        <w:trPr>
          <w:trHeight w:val="3112"/>
        </w:trPr>
        <w:tc>
          <w:tcPr>
            <w:tcW w:w="1838" w:type="dxa"/>
            <w:tcBorders>
              <w:left w:val="thinThickSmallGap" w:sz="24" w:space="0" w:color="auto"/>
            </w:tcBorders>
            <w:vAlign w:val="center"/>
          </w:tcPr>
          <w:p w14:paraId="1718CEDD" w14:textId="47D6A151" w:rsidR="0083398A" w:rsidRPr="004150F0" w:rsidRDefault="0083398A" w:rsidP="004150F0">
            <w:pPr>
              <w:jc w:val="center"/>
              <w:rPr>
                <w:rFonts w:ascii="微軟正黑體" w:eastAsia="微軟正黑體" w:hAnsi="微軟正黑體"/>
                <w:sz w:val="26"/>
                <w:szCs w:val="26"/>
              </w:rPr>
            </w:pPr>
            <w:r w:rsidRPr="004150F0">
              <w:rPr>
                <w:rFonts w:ascii="微軟正黑體" w:eastAsia="微軟正黑體" w:hAnsi="微軟正黑體" w:hint="eastAsia"/>
                <w:sz w:val="26"/>
                <w:szCs w:val="26"/>
              </w:rPr>
              <w:t>4月23日</w:t>
            </w:r>
          </w:p>
        </w:tc>
        <w:tc>
          <w:tcPr>
            <w:tcW w:w="2131" w:type="dxa"/>
            <w:vAlign w:val="center"/>
          </w:tcPr>
          <w:p w14:paraId="2DC4A644" w14:textId="269A323F" w:rsidR="0083398A" w:rsidRPr="004150F0" w:rsidRDefault="0083398A" w:rsidP="004150F0">
            <w:pPr>
              <w:spacing w:line="360" w:lineRule="exact"/>
              <w:jc w:val="both"/>
              <w:rPr>
                <w:rFonts w:ascii="微軟正黑體" w:eastAsia="微軟正黑體" w:hAnsi="微軟正黑體"/>
                <w:sz w:val="26"/>
                <w:szCs w:val="26"/>
              </w:rPr>
            </w:pPr>
            <w:r w:rsidRPr="004150F0">
              <w:rPr>
                <w:rFonts w:ascii="微軟正黑體" w:eastAsia="微軟正黑體" w:hAnsi="微軟正黑體" w:hint="eastAsia"/>
                <w:sz w:val="26"/>
                <w:szCs w:val="26"/>
              </w:rPr>
              <w:t>113年環境教育研習－海洋生態認識與手作體驗</w:t>
            </w:r>
          </w:p>
        </w:tc>
        <w:tc>
          <w:tcPr>
            <w:tcW w:w="5812" w:type="dxa"/>
            <w:tcBorders>
              <w:right w:val="thickThinSmallGap" w:sz="24" w:space="0" w:color="auto"/>
            </w:tcBorders>
            <w:vAlign w:val="center"/>
          </w:tcPr>
          <w:p w14:paraId="70F3DDA5" w14:textId="77777777" w:rsidR="0083398A" w:rsidRPr="004150F0" w:rsidRDefault="0083398A" w:rsidP="004150F0">
            <w:pPr>
              <w:spacing w:line="360" w:lineRule="exact"/>
              <w:jc w:val="both"/>
              <w:rPr>
                <w:rFonts w:ascii="微軟正黑體" w:eastAsia="微軟正黑體" w:hAnsi="微軟正黑體"/>
                <w:sz w:val="26"/>
                <w:szCs w:val="26"/>
              </w:rPr>
            </w:pPr>
            <w:r w:rsidRPr="004150F0">
              <w:rPr>
                <w:rFonts w:ascii="微軟正黑體" w:eastAsia="微軟正黑體" w:hAnsi="微軟正黑體" w:hint="eastAsia"/>
                <w:sz w:val="26"/>
                <w:szCs w:val="26"/>
              </w:rPr>
              <w:t>為推動促進同仁瞭解個人及社會與環境的相互依存關係，增進保護環境之知識、態度及價值觀，培養環境公民與環境學習社群，以強化全民環境認知與責任感，進而達到維護環境生態平衡、尊重生命之宗旨，</w:t>
            </w:r>
            <w:proofErr w:type="gramStart"/>
            <w:r w:rsidRPr="004150F0">
              <w:rPr>
                <w:rFonts w:ascii="微軟正黑體" w:eastAsia="微軟正黑體" w:hAnsi="微軟正黑體" w:hint="eastAsia"/>
                <w:sz w:val="26"/>
                <w:szCs w:val="26"/>
              </w:rPr>
              <w:t>爰</w:t>
            </w:r>
            <w:proofErr w:type="gramEnd"/>
            <w:r w:rsidRPr="004150F0">
              <w:rPr>
                <w:rFonts w:ascii="微軟正黑體" w:eastAsia="微軟正黑體" w:hAnsi="微軟正黑體" w:hint="eastAsia"/>
                <w:sz w:val="26"/>
                <w:szCs w:val="26"/>
              </w:rPr>
              <w:t>規劃辦理系列研習活動。</w:t>
            </w:r>
          </w:p>
          <w:p w14:paraId="6C2B3819" w14:textId="568AF4AE" w:rsidR="0083398A" w:rsidRPr="004150F0" w:rsidRDefault="0083398A" w:rsidP="004150F0">
            <w:pPr>
              <w:spacing w:line="360" w:lineRule="exact"/>
              <w:jc w:val="both"/>
              <w:rPr>
                <w:rFonts w:ascii="微軟正黑體" w:eastAsia="微軟正黑體" w:hAnsi="微軟正黑體"/>
                <w:sz w:val="26"/>
                <w:szCs w:val="26"/>
              </w:rPr>
            </w:pPr>
            <w:r w:rsidRPr="004150F0">
              <w:rPr>
                <w:rFonts w:ascii="微軟正黑體" w:eastAsia="微軟正黑體" w:hAnsi="微軟正黑體" w:hint="eastAsia"/>
                <w:sz w:val="26"/>
                <w:szCs w:val="26"/>
              </w:rPr>
              <w:t>本次研習</w:t>
            </w:r>
            <w:proofErr w:type="gramStart"/>
            <w:r w:rsidRPr="004150F0">
              <w:rPr>
                <w:rFonts w:ascii="微軟正黑體" w:eastAsia="微軟正黑體" w:hAnsi="微軟正黑體" w:hint="eastAsia"/>
                <w:sz w:val="26"/>
                <w:szCs w:val="26"/>
              </w:rPr>
              <w:t>活動係洽請</w:t>
            </w:r>
            <w:proofErr w:type="gramEnd"/>
            <w:r w:rsidRPr="004150F0">
              <w:rPr>
                <w:rFonts w:ascii="微軟正黑體" w:eastAsia="微軟正黑體" w:hAnsi="微軟正黑體" w:hint="eastAsia"/>
                <w:sz w:val="26"/>
                <w:szCs w:val="26"/>
              </w:rPr>
              <w:t>本縣水產試驗所提供導</w:t>
            </w:r>
            <w:proofErr w:type="gramStart"/>
            <w:r w:rsidRPr="004150F0">
              <w:rPr>
                <w:rFonts w:ascii="微軟正黑體" w:eastAsia="微軟正黑體" w:hAnsi="微軟正黑體" w:hint="eastAsia"/>
                <w:sz w:val="26"/>
                <w:szCs w:val="26"/>
              </w:rPr>
              <w:t>覽</w:t>
            </w:r>
            <w:proofErr w:type="gramEnd"/>
            <w:r w:rsidRPr="004150F0">
              <w:rPr>
                <w:rFonts w:ascii="微軟正黑體" w:eastAsia="微軟正黑體" w:hAnsi="微軟正黑體" w:hint="eastAsia"/>
                <w:sz w:val="26"/>
                <w:szCs w:val="26"/>
              </w:rPr>
              <w:t>解說服務並教導參與同仁有關</w:t>
            </w:r>
            <w:proofErr w:type="gramStart"/>
            <w:r w:rsidRPr="004150F0">
              <w:rPr>
                <w:rFonts w:ascii="微軟正黑體" w:eastAsia="微軟正黑體" w:hAnsi="微軟正黑體" w:hint="eastAsia"/>
                <w:sz w:val="26"/>
                <w:szCs w:val="26"/>
              </w:rPr>
              <w:t>蠔</w:t>
            </w:r>
            <w:proofErr w:type="gramEnd"/>
            <w:r w:rsidRPr="004150F0">
              <w:rPr>
                <w:rFonts w:ascii="微軟正黑體" w:eastAsia="微軟正黑體" w:hAnsi="微軟正黑體" w:hint="eastAsia"/>
                <w:sz w:val="26"/>
                <w:szCs w:val="26"/>
              </w:rPr>
              <w:t>香手工干貝醬之備料、裝瓶及製作過程。</w:t>
            </w:r>
          </w:p>
        </w:tc>
      </w:tr>
      <w:tr w:rsidR="0083398A" w:rsidRPr="004150F0" w14:paraId="3827FC97" w14:textId="77777777" w:rsidTr="004150F0">
        <w:trPr>
          <w:trHeight w:val="1776"/>
        </w:trPr>
        <w:tc>
          <w:tcPr>
            <w:tcW w:w="1838" w:type="dxa"/>
            <w:tcBorders>
              <w:left w:val="thinThickSmallGap" w:sz="24" w:space="0" w:color="auto"/>
              <w:bottom w:val="thickThinSmallGap" w:sz="24" w:space="0" w:color="auto"/>
            </w:tcBorders>
            <w:vAlign w:val="center"/>
          </w:tcPr>
          <w:p w14:paraId="2C8C0519" w14:textId="57B837E4" w:rsidR="0083398A" w:rsidRPr="004150F0" w:rsidRDefault="0083398A" w:rsidP="004150F0">
            <w:pPr>
              <w:jc w:val="center"/>
              <w:rPr>
                <w:rFonts w:ascii="微軟正黑體" w:eastAsia="微軟正黑體" w:hAnsi="微軟正黑體"/>
                <w:sz w:val="26"/>
                <w:szCs w:val="26"/>
              </w:rPr>
            </w:pPr>
            <w:r w:rsidRPr="004150F0">
              <w:rPr>
                <w:rFonts w:ascii="微軟正黑體" w:eastAsia="微軟正黑體" w:hAnsi="微軟正黑體" w:hint="eastAsia"/>
                <w:sz w:val="26"/>
                <w:szCs w:val="26"/>
              </w:rPr>
              <w:t>4月26日</w:t>
            </w:r>
          </w:p>
        </w:tc>
        <w:tc>
          <w:tcPr>
            <w:tcW w:w="2131" w:type="dxa"/>
            <w:tcBorders>
              <w:bottom w:val="thickThinSmallGap" w:sz="24" w:space="0" w:color="auto"/>
            </w:tcBorders>
            <w:vAlign w:val="center"/>
          </w:tcPr>
          <w:p w14:paraId="12AC480E" w14:textId="5A6C46C7" w:rsidR="0083398A" w:rsidRPr="004150F0" w:rsidRDefault="0083398A" w:rsidP="004150F0">
            <w:pPr>
              <w:spacing w:line="360" w:lineRule="exact"/>
              <w:jc w:val="both"/>
              <w:rPr>
                <w:rFonts w:ascii="微軟正黑體" w:eastAsia="微軟正黑體" w:hAnsi="微軟正黑體"/>
                <w:sz w:val="26"/>
                <w:szCs w:val="26"/>
              </w:rPr>
            </w:pPr>
            <w:r w:rsidRPr="004150F0">
              <w:rPr>
                <w:rFonts w:ascii="微軟正黑體" w:eastAsia="微軟正黑體" w:hAnsi="微軟正黑體" w:hint="eastAsia"/>
                <w:sz w:val="26"/>
                <w:szCs w:val="26"/>
              </w:rPr>
              <w:t>113年核心職能與專業素養研習－電腦軟體應用之美編專題</w:t>
            </w:r>
          </w:p>
        </w:tc>
        <w:tc>
          <w:tcPr>
            <w:tcW w:w="5812" w:type="dxa"/>
            <w:tcBorders>
              <w:bottom w:val="thickThinSmallGap" w:sz="24" w:space="0" w:color="auto"/>
              <w:right w:val="thickThinSmallGap" w:sz="24" w:space="0" w:color="auto"/>
            </w:tcBorders>
            <w:vAlign w:val="center"/>
          </w:tcPr>
          <w:p w14:paraId="76550EDC" w14:textId="6C5BC2BD" w:rsidR="0083398A" w:rsidRPr="004150F0" w:rsidRDefault="0083398A" w:rsidP="004150F0">
            <w:pPr>
              <w:spacing w:line="360" w:lineRule="exact"/>
              <w:jc w:val="both"/>
              <w:rPr>
                <w:rFonts w:ascii="微軟正黑體" w:eastAsia="微軟正黑體" w:hAnsi="微軟正黑體"/>
                <w:sz w:val="26"/>
                <w:szCs w:val="26"/>
              </w:rPr>
            </w:pPr>
            <w:r w:rsidRPr="004150F0">
              <w:rPr>
                <w:rFonts w:ascii="微軟正黑體" w:eastAsia="微軟正黑體" w:hAnsi="微軟正黑體" w:hint="eastAsia"/>
                <w:sz w:val="26"/>
                <w:szCs w:val="26"/>
              </w:rPr>
              <w:t>為培訓及加強本府及所屬機關基層公務同仁辦理業務所需核心職能，以增進個人工作效能，進而提升整體行政效率，</w:t>
            </w:r>
            <w:proofErr w:type="gramStart"/>
            <w:r w:rsidRPr="004150F0">
              <w:rPr>
                <w:rFonts w:ascii="微軟正黑體" w:eastAsia="微軟正黑體" w:hAnsi="微軟正黑體" w:hint="eastAsia"/>
                <w:sz w:val="26"/>
                <w:szCs w:val="26"/>
              </w:rPr>
              <w:t>爰</w:t>
            </w:r>
            <w:proofErr w:type="gramEnd"/>
            <w:r w:rsidRPr="004150F0">
              <w:rPr>
                <w:rFonts w:ascii="微軟正黑體" w:eastAsia="微軟正黑體" w:hAnsi="微軟正黑體" w:hint="eastAsia"/>
                <w:sz w:val="26"/>
                <w:szCs w:val="26"/>
              </w:rPr>
              <w:t>規劃辦理系列課程，並聘邀巨匠電腦專業講師擔任講座。</w:t>
            </w:r>
          </w:p>
        </w:tc>
      </w:tr>
    </w:tbl>
    <w:p w14:paraId="2A43298F" w14:textId="502CF2CA" w:rsidR="00160C73" w:rsidRDefault="00160C73"/>
    <w:sectPr w:rsidR="00160C73" w:rsidSect="004150F0">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A3FB4" w14:textId="77777777" w:rsidR="004D07C9" w:rsidRDefault="004D07C9" w:rsidP="004E4303">
      <w:r>
        <w:separator/>
      </w:r>
    </w:p>
  </w:endnote>
  <w:endnote w:type="continuationSeparator" w:id="0">
    <w:p w14:paraId="142889E6" w14:textId="77777777" w:rsidR="004D07C9" w:rsidRDefault="004D07C9" w:rsidP="004E4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W">
    <w:altName w:val="微軟正黑體"/>
    <w:panose1 w:val="00000000000000000000"/>
    <w:charset w:val="88"/>
    <w:family w:val="swiss"/>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2F5EF" w14:textId="77777777" w:rsidR="004D07C9" w:rsidRDefault="004D07C9" w:rsidP="004E4303">
      <w:r>
        <w:separator/>
      </w:r>
    </w:p>
  </w:footnote>
  <w:footnote w:type="continuationSeparator" w:id="0">
    <w:p w14:paraId="1D2FF78D" w14:textId="77777777" w:rsidR="004D07C9" w:rsidRDefault="004D07C9" w:rsidP="004E43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672"/>
    <w:rsid w:val="00160C73"/>
    <w:rsid w:val="004150F0"/>
    <w:rsid w:val="004D07C9"/>
    <w:rsid w:val="004E4303"/>
    <w:rsid w:val="00754F15"/>
    <w:rsid w:val="00820F4E"/>
    <w:rsid w:val="0083398A"/>
    <w:rsid w:val="00E22672"/>
    <w:rsid w:val="00E569CC"/>
    <w:rsid w:val="00F83B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37F4F0"/>
  <w15:chartTrackingRefBased/>
  <w15:docId w15:val="{572F4D72-1D7B-4930-AD66-531CEA164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2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2672"/>
    <w:pPr>
      <w:widowControl w:val="0"/>
      <w:autoSpaceDE w:val="0"/>
      <w:autoSpaceDN w:val="0"/>
      <w:adjustRightInd w:val="0"/>
    </w:pPr>
    <w:rPr>
      <w:rFonts w:ascii="TW" w:eastAsia="TW" w:cs="TW"/>
      <w:color w:val="000000"/>
      <w:kern w:val="0"/>
      <w:szCs w:val="24"/>
    </w:rPr>
  </w:style>
  <w:style w:type="paragraph" w:styleId="a4">
    <w:name w:val="header"/>
    <w:basedOn w:val="a"/>
    <w:link w:val="a5"/>
    <w:uiPriority w:val="99"/>
    <w:unhideWhenUsed/>
    <w:rsid w:val="004E4303"/>
    <w:pPr>
      <w:tabs>
        <w:tab w:val="center" w:pos="4153"/>
        <w:tab w:val="right" w:pos="8306"/>
      </w:tabs>
      <w:snapToGrid w:val="0"/>
    </w:pPr>
    <w:rPr>
      <w:sz w:val="20"/>
      <w:szCs w:val="20"/>
    </w:rPr>
  </w:style>
  <w:style w:type="character" w:customStyle="1" w:styleId="a5">
    <w:name w:val="頁首 字元"/>
    <w:basedOn w:val="a0"/>
    <w:link w:val="a4"/>
    <w:uiPriority w:val="99"/>
    <w:rsid w:val="004E4303"/>
    <w:rPr>
      <w:sz w:val="20"/>
      <w:szCs w:val="20"/>
    </w:rPr>
  </w:style>
  <w:style w:type="paragraph" w:styleId="a6">
    <w:name w:val="footer"/>
    <w:basedOn w:val="a"/>
    <w:link w:val="a7"/>
    <w:uiPriority w:val="99"/>
    <w:unhideWhenUsed/>
    <w:rsid w:val="004E4303"/>
    <w:pPr>
      <w:tabs>
        <w:tab w:val="center" w:pos="4153"/>
        <w:tab w:val="right" w:pos="8306"/>
      </w:tabs>
      <w:snapToGrid w:val="0"/>
    </w:pPr>
    <w:rPr>
      <w:sz w:val="20"/>
      <w:szCs w:val="20"/>
    </w:rPr>
  </w:style>
  <w:style w:type="character" w:customStyle="1" w:styleId="a7">
    <w:name w:val="頁尾 字元"/>
    <w:basedOn w:val="a0"/>
    <w:link w:val="a6"/>
    <w:uiPriority w:val="99"/>
    <w:rsid w:val="004E430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209</Words>
  <Characters>1196</Characters>
  <Application>Microsoft Office Word</Application>
  <DocSecurity>0</DocSecurity>
  <Lines>9</Lines>
  <Paragraphs>2</Paragraphs>
  <ScaleCrop>false</ScaleCrop>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陳怡庭</dc:creator>
  <cp:keywords/>
  <dc:description/>
  <cp:lastModifiedBy>陳怡庭</cp:lastModifiedBy>
  <cp:revision>5</cp:revision>
  <dcterms:created xsi:type="dcterms:W3CDTF">2024-05-20T05:59:00Z</dcterms:created>
  <dcterms:modified xsi:type="dcterms:W3CDTF">2024-05-29T07:48:00Z</dcterms:modified>
</cp:coreProperties>
</file>