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01" w:rsidRPr="000C2F01" w:rsidRDefault="000C2F01" w:rsidP="000C2F01">
      <w:pPr>
        <w:rPr>
          <w:rFonts w:ascii="標楷體" w:eastAsia="標楷體" w:hAnsi="標楷體"/>
        </w:rPr>
      </w:pPr>
      <w:bookmarkStart w:id="0" w:name="_GoBack"/>
      <w:bookmarkEnd w:id="0"/>
      <w:r w:rsidRPr="000C2F01">
        <w:rPr>
          <w:rFonts w:ascii="標楷體" w:eastAsia="標楷體" w:hAnsi="標楷體" w:hint="eastAsia"/>
        </w:rPr>
        <w:t>法規名稱：增定酒精類以外酒精成分六十度以上之酒類應行標示事項</w:t>
      </w:r>
    </w:p>
    <w:p w:rsidR="000C2F01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公發布日：民國 93 年 02 月 05 日</w:t>
      </w:r>
    </w:p>
    <w:p w:rsidR="000C2F01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發文字號：台</w:t>
      </w:r>
      <w:proofErr w:type="gramStart"/>
      <w:r w:rsidRPr="000C2F01">
        <w:rPr>
          <w:rFonts w:ascii="標楷體" w:eastAsia="標楷體" w:hAnsi="標楷體" w:hint="eastAsia"/>
        </w:rPr>
        <w:t>財庫字第○九三○三</w:t>
      </w:r>
      <w:proofErr w:type="gramEnd"/>
      <w:r w:rsidRPr="000C2F01">
        <w:rPr>
          <w:rFonts w:ascii="標楷體" w:eastAsia="標楷體" w:hAnsi="標楷體" w:hint="eastAsia"/>
        </w:rPr>
        <w:t>五○一七一號</w:t>
      </w:r>
    </w:p>
    <w:p w:rsidR="000C2F01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法規體系：財政部國庫署</w:t>
      </w:r>
    </w:p>
    <w:p w:rsidR="000C2F01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依據：</w:t>
      </w:r>
    </w:p>
    <w:p w:rsidR="000C2F01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菸酒管理法第三十三條第一項第十款及第四項規定。</w:t>
      </w:r>
    </w:p>
    <w:p w:rsidR="000C2F01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一、增定酒精成分六十度以上之酒類經包裝出售者，製造業者或進口業者應於直接接觸酒之容器上標示「高度易燃，應遠離火源、火花、火焰，置於陰涼且通風良好處，</w:t>
      </w:r>
      <w:proofErr w:type="gramStart"/>
      <w:r w:rsidRPr="000C2F01">
        <w:rPr>
          <w:rFonts w:ascii="標楷體" w:eastAsia="標楷體" w:hAnsi="標楷體" w:hint="eastAsia"/>
        </w:rPr>
        <w:t>並緊蓋容器</w:t>
      </w:r>
      <w:proofErr w:type="gramEnd"/>
      <w:r w:rsidRPr="000C2F01">
        <w:rPr>
          <w:rFonts w:ascii="標楷體" w:eastAsia="標楷體" w:hAnsi="標楷體" w:hint="eastAsia"/>
        </w:rPr>
        <w:t>」。</w:t>
      </w:r>
    </w:p>
    <w:p w:rsidR="00056ED3" w:rsidRPr="000C2F01" w:rsidRDefault="000C2F01" w:rsidP="000C2F01">
      <w:pPr>
        <w:rPr>
          <w:rFonts w:ascii="標楷體" w:eastAsia="標楷體" w:hAnsi="標楷體"/>
        </w:rPr>
      </w:pPr>
      <w:r w:rsidRPr="000C2F01">
        <w:rPr>
          <w:rFonts w:ascii="標楷體" w:eastAsia="標楷體" w:hAnsi="標楷體" w:hint="eastAsia"/>
        </w:rPr>
        <w:t>二、前項應標示事項於公告十八</w:t>
      </w:r>
      <w:proofErr w:type="gramStart"/>
      <w:r w:rsidRPr="000C2F01">
        <w:rPr>
          <w:rFonts w:ascii="標楷體" w:eastAsia="標楷體" w:hAnsi="標楷體" w:hint="eastAsia"/>
        </w:rPr>
        <w:t>個</w:t>
      </w:r>
      <w:proofErr w:type="gramEnd"/>
      <w:r w:rsidRPr="000C2F01">
        <w:rPr>
          <w:rFonts w:ascii="標楷體" w:eastAsia="標楷體" w:hAnsi="標楷體" w:hint="eastAsia"/>
        </w:rPr>
        <w:t>月後生效。</w:t>
      </w:r>
    </w:p>
    <w:sectPr w:rsidR="00056ED3" w:rsidRPr="000C2F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96"/>
    <w:rsid w:val="000C2F01"/>
    <w:rsid w:val="004345E8"/>
    <w:rsid w:val="00710096"/>
    <w:rsid w:val="008E5185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kinmen2235</dc:creator>
  <cp:lastModifiedBy>kinmen2235</cp:lastModifiedBy>
  <cp:revision>4</cp:revision>
  <cp:lastPrinted>2020-01-17T03:59:00Z</cp:lastPrinted>
  <dcterms:created xsi:type="dcterms:W3CDTF">2020-01-17T03:59:00Z</dcterms:created>
  <dcterms:modified xsi:type="dcterms:W3CDTF">2020-01-17T04:00:00Z</dcterms:modified>
</cp:coreProperties>
</file>