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760860">
        <w:rPr>
          <w:rFonts w:ascii="標楷體" w:eastAsia="標楷體" w:hAnsi="標楷體" w:hint="eastAsia"/>
          <w:sz w:val="28"/>
        </w:rPr>
        <w:t>法規名稱：產製私</w:t>
      </w:r>
      <w:proofErr w:type="gramStart"/>
      <w:r w:rsidRPr="00760860">
        <w:rPr>
          <w:rFonts w:ascii="標楷體" w:eastAsia="標楷體" w:hAnsi="標楷體" w:hint="eastAsia"/>
          <w:sz w:val="28"/>
        </w:rPr>
        <w:t>菸</w:t>
      </w:r>
      <w:proofErr w:type="gramEnd"/>
      <w:r w:rsidRPr="00760860">
        <w:rPr>
          <w:rFonts w:ascii="標楷體" w:eastAsia="標楷體" w:hAnsi="標楷體" w:hint="eastAsia"/>
          <w:sz w:val="28"/>
        </w:rPr>
        <w:t>及私酒供自用不罰之數量限制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公發布日：民國 93 年 07 月 01 日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修正日期：民國 99 年 03 月 05 日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發文字號：台</w:t>
      </w:r>
      <w:proofErr w:type="gramStart"/>
      <w:r w:rsidRPr="00760860">
        <w:rPr>
          <w:rFonts w:ascii="標楷體" w:eastAsia="標楷體" w:hAnsi="標楷體" w:hint="eastAsia"/>
          <w:sz w:val="28"/>
        </w:rPr>
        <w:t>財庫字第09903504870號</w:t>
      </w:r>
      <w:proofErr w:type="gramEnd"/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法規體系：財政部國庫署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依據：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菸酒管理法第四十六條第二項及第三項規定。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一、產製私</w:t>
      </w:r>
      <w:proofErr w:type="gramStart"/>
      <w:r w:rsidRPr="00760860">
        <w:rPr>
          <w:rFonts w:ascii="標楷體" w:eastAsia="標楷體" w:hAnsi="標楷體" w:hint="eastAsia"/>
          <w:sz w:val="28"/>
        </w:rPr>
        <w:t>菸</w:t>
      </w:r>
      <w:proofErr w:type="gramEnd"/>
      <w:r w:rsidRPr="00760860">
        <w:rPr>
          <w:rFonts w:ascii="標楷體" w:eastAsia="標楷體" w:hAnsi="標楷體" w:hint="eastAsia"/>
          <w:sz w:val="28"/>
        </w:rPr>
        <w:t>、私酒未逾一定數量且供自用者，不罰。所稱「一定數量」如下：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（一）產製私</w:t>
      </w:r>
      <w:proofErr w:type="gramStart"/>
      <w:r w:rsidRPr="00760860">
        <w:rPr>
          <w:rFonts w:ascii="標楷體" w:eastAsia="標楷體" w:hAnsi="標楷體" w:hint="eastAsia"/>
          <w:sz w:val="28"/>
        </w:rPr>
        <w:t>菸</w:t>
      </w:r>
      <w:proofErr w:type="gramEnd"/>
      <w:r w:rsidRPr="00760860">
        <w:rPr>
          <w:rFonts w:ascii="標楷體" w:eastAsia="標楷體" w:hAnsi="標楷體" w:hint="eastAsia"/>
          <w:sz w:val="28"/>
        </w:rPr>
        <w:t>之成品及半成品合計每戶五公斤。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（二）產製私酒之成品及半成品合計每戶一○○公升。</w:t>
      </w:r>
    </w:p>
    <w:p w:rsidR="00760860" w:rsidRPr="00760860" w:rsidRDefault="00760860" w:rsidP="00760860">
      <w:pPr>
        <w:rPr>
          <w:rFonts w:ascii="標楷體" w:eastAsia="標楷體" w:hAnsi="標楷體"/>
          <w:sz w:val="28"/>
        </w:rPr>
      </w:pPr>
      <w:r w:rsidRPr="00760860">
        <w:rPr>
          <w:rFonts w:ascii="標楷體" w:eastAsia="標楷體" w:hAnsi="標楷體" w:hint="eastAsia"/>
          <w:sz w:val="28"/>
        </w:rPr>
        <w:t>二、前點所稱之私酒半成品，酒精成分以容量計算未超過百分之○．五者不計入；酒精成分以容量計算  超過百分之○．五且未經澄清過濾者，以數量之二分之一計算。</w:t>
      </w:r>
    </w:p>
    <w:p w:rsidR="00056ED3" w:rsidRPr="00760860" w:rsidRDefault="00B5779D" w:rsidP="00760860">
      <w:pPr>
        <w:rPr>
          <w:rFonts w:ascii="標楷體" w:eastAsia="標楷體" w:hAnsi="標楷體"/>
          <w:sz w:val="28"/>
        </w:rPr>
      </w:pPr>
    </w:p>
    <w:sectPr w:rsidR="00056ED3" w:rsidRPr="00760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79"/>
    <w:rsid w:val="00295479"/>
    <w:rsid w:val="004345E8"/>
    <w:rsid w:val="00760860"/>
    <w:rsid w:val="008E5185"/>
    <w:rsid w:val="00B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0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60860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0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6086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0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kinmen2235</dc:creator>
  <cp:lastModifiedBy>kinmen2235</cp:lastModifiedBy>
  <cp:revision>5</cp:revision>
  <cp:lastPrinted>2020-01-17T03:55:00Z</cp:lastPrinted>
  <dcterms:created xsi:type="dcterms:W3CDTF">2020-01-17T03:54:00Z</dcterms:created>
  <dcterms:modified xsi:type="dcterms:W3CDTF">2020-01-17T03:56:00Z</dcterms:modified>
</cp:coreProperties>
</file>